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6DC" w:rsidRPr="00CA6939" w:rsidRDefault="00F676C7" w:rsidP="00F676C7">
      <w:pPr>
        <w:jc w:val="left"/>
      </w:pPr>
      <w:r w:rsidRPr="00CA6939">
        <w:rPr>
          <w:b/>
        </w:rPr>
        <w:t>Produção de coentro '</w:t>
      </w:r>
      <w:r>
        <w:rPr>
          <w:b/>
        </w:rPr>
        <w:t>V</w:t>
      </w:r>
      <w:r w:rsidRPr="00CA6939">
        <w:rPr>
          <w:b/>
        </w:rPr>
        <w:t>erdão' em resposta a diferentes doses de manipueira</w:t>
      </w:r>
    </w:p>
    <w:p w:rsidR="006916DC" w:rsidRPr="00CA6939" w:rsidRDefault="006916DC" w:rsidP="00CA6939"/>
    <w:p w:rsidR="006916DC" w:rsidRPr="00CA6939" w:rsidRDefault="006916DC" w:rsidP="00CA6939">
      <w:r w:rsidRPr="00CA6939">
        <w:rPr>
          <w:b/>
        </w:rPr>
        <w:t>R</w:t>
      </w:r>
      <w:r w:rsidR="0063398D" w:rsidRPr="00CA6939">
        <w:rPr>
          <w:b/>
        </w:rPr>
        <w:t>esumo</w:t>
      </w:r>
      <w:r w:rsidR="00D142DC">
        <w:t>:</w:t>
      </w:r>
      <w:r w:rsidRPr="00CA6939">
        <w:t xml:space="preserve"> Inúmeras pesquisas vêm sendo desenvolvidas com intuito de otimizar a produção de hortaliças utilizando resíduos obtidos a partir do processamento de outras matérias primas, destacando a utilização da manipueira, efluente residual liberado durante o processamento da mandioca, porquanto apresenta expressiva carga orgânica e nutrientes importantes para o desenvolvimento das plantas. Nesse contexto, o presente trabalho objetivou avaliar o crescimento e produção do coentro 'Verdão' submetido a doses de manipueira, na ausência e presença de esterco bovino. O estudo foi conduzido em casa de vegetação da UFRB, em Cruz das Almas-BA, no delineamento inteiramente casualizado, com os tratamentos distribuídos em esquema fatorial (2 x 5) com 5 repetições, totalizando 50 unidades experimentais. Os fatores estudados foram: presença (</w:t>
      </w:r>
      <w:smartTag w:uri="urn:schemas-microsoft-com:office:smarttags" w:element="metricconverter">
        <w:smartTagPr>
          <w:attr w:name="ProductID" w:val="3,9 kg"/>
        </w:smartTagPr>
        <w:r w:rsidRPr="00CA6939">
          <w:t>3,9 kg</w:t>
        </w:r>
      </w:smartTag>
      <w:r w:rsidRPr="00CA6939">
        <w:t xml:space="preserve"> m</w:t>
      </w:r>
      <w:r w:rsidRPr="00CA6939">
        <w:rPr>
          <w:vertAlign w:val="superscript"/>
        </w:rPr>
        <w:t>-2</w:t>
      </w:r>
      <w:r w:rsidRPr="00CA6939">
        <w:t xml:space="preserve">) e ausência de esterco bovino e doses de manipueira (0, 15, 30, 45 e </w:t>
      </w:r>
      <w:smartTag w:uri="urn:schemas-microsoft-com:office:smarttags" w:element="metricconverter">
        <w:smartTagPr>
          <w:attr w:name="ProductID" w:val="60 mﾳ"/>
        </w:smartTagPr>
        <w:r w:rsidRPr="00CA6939">
          <w:t>60 m³</w:t>
        </w:r>
      </w:smartTag>
      <w:r w:rsidRPr="00CA6939">
        <w:t xml:space="preserve"> ha</w:t>
      </w:r>
      <w:r w:rsidRPr="00CA6939">
        <w:rPr>
          <w:vertAlign w:val="superscript"/>
        </w:rPr>
        <w:t>-1</w:t>
      </w:r>
      <w:r w:rsidRPr="00CA6939">
        <w:t>). Foram utilizados vasos de plástico com capacidade de 3 dm³, preenchido com solo da camada de 0-</w:t>
      </w:r>
      <w:smartTag w:uri="urn:schemas-microsoft-com:office:smarttags" w:element="metricconverter">
        <w:smartTagPr>
          <w:attr w:name="ProductID" w:val="0,20 m"/>
        </w:smartTagPr>
        <w:r w:rsidRPr="00CA6939">
          <w:t>0,20 m</w:t>
        </w:r>
      </w:smartTag>
      <w:r w:rsidRPr="00CA6939">
        <w:t xml:space="preserve"> de um LATOSSOLO AMARELO Ditrocoeso típico. Os maiores rendimentos do coentro ‘Verdão’ foram obtidos com a aplicação de manipueira em conjunto com esterco bovino. A aplicação de </w:t>
      </w:r>
      <w:smartTag w:uri="urn:schemas-microsoft-com:office:smarttags" w:element="metricconverter">
        <w:smartTagPr>
          <w:attr w:name="ProductID" w:val="45 mﾳ"/>
        </w:smartTagPr>
        <w:r w:rsidRPr="00CA6939">
          <w:t>45 m³</w:t>
        </w:r>
      </w:smartTag>
      <w:r w:rsidRPr="00CA6939">
        <w:t xml:space="preserve"> ha</w:t>
      </w:r>
      <w:r w:rsidRPr="00CA6939">
        <w:rPr>
          <w:vertAlign w:val="superscript"/>
        </w:rPr>
        <w:t>-1</w:t>
      </w:r>
      <w:r w:rsidRPr="00CA6939">
        <w:t xml:space="preserve"> de manipueira, na presença de esterco bovino, proporcionou maiores área foliar, massa fresca da parte aérea e suculência da parte aérea. Os tratamentos submetidos apenas às diferentes doses de manipueira, na ausência de esterco bovino, apresentaram resposta linear positiva para a maioria das variáveis analisadas, indicando que doses mais elevadas de manipueira poderiam vir a suprimir a demanda nutricional do coentro em substituição ao esterco bovino.</w:t>
      </w:r>
    </w:p>
    <w:p w:rsidR="006916DC" w:rsidRPr="00CA6939" w:rsidRDefault="006916DC" w:rsidP="00CA6939"/>
    <w:p w:rsidR="006916DC" w:rsidRPr="00CA6939" w:rsidRDefault="006916DC" w:rsidP="00CA6939">
      <w:pPr>
        <w:rPr>
          <w:b/>
        </w:rPr>
      </w:pPr>
      <w:r w:rsidRPr="00CA6939">
        <w:rPr>
          <w:b/>
        </w:rPr>
        <w:t xml:space="preserve">Palavras-Chave: </w:t>
      </w:r>
      <w:r w:rsidRPr="00CA6939">
        <w:t xml:space="preserve">Água residuária da mandioca; </w:t>
      </w:r>
      <w:r w:rsidRPr="00CA6939">
        <w:rPr>
          <w:i/>
        </w:rPr>
        <w:t>Coriandrum sativum</w:t>
      </w:r>
      <w:r w:rsidRPr="00CA6939">
        <w:t xml:space="preserve"> L.; Adubação orgânica; </w:t>
      </w:r>
      <w:r w:rsidRPr="00CA6939">
        <w:rPr>
          <w:i/>
        </w:rPr>
        <w:t>Manihot esculenta</w:t>
      </w:r>
      <w:r w:rsidRPr="00CA6939">
        <w:t xml:space="preserve"> Crantz; Reuso.</w:t>
      </w:r>
    </w:p>
    <w:p w:rsidR="006916DC" w:rsidRPr="00CA6939" w:rsidRDefault="006916DC" w:rsidP="00CA6939">
      <w:pPr>
        <w:rPr>
          <w:b/>
        </w:rPr>
      </w:pPr>
    </w:p>
    <w:p w:rsidR="006916DC" w:rsidRPr="00CA6939" w:rsidRDefault="00F676C7" w:rsidP="00CA6939">
      <w:pPr>
        <w:rPr>
          <w:b/>
          <w:lang w:val="en-US"/>
        </w:rPr>
      </w:pPr>
      <w:r w:rsidRPr="00CA6939">
        <w:rPr>
          <w:b/>
          <w:lang w:val="en-US"/>
        </w:rPr>
        <w:t>Production of '</w:t>
      </w:r>
      <w:r>
        <w:rPr>
          <w:b/>
          <w:lang w:val="en-US"/>
        </w:rPr>
        <w:t>V</w:t>
      </w:r>
      <w:r w:rsidRPr="00CA6939">
        <w:rPr>
          <w:b/>
          <w:lang w:val="en-US"/>
        </w:rPr>
        <w:t xml:space="preserve">erdão' coriander in response to different doses of </w:t>
      </w:r>
      <w:r w:rsidRPr="00F676C7">
        <w:rPr>
          <w:b/>
          <w:lang w:val="en-US"/>
        </w:rPr>
        <w:t>manipueira</w:t>
      </w:r>
    </w:p>
    <w:p w:rsidR="006916DC" w:rsidRPr="00CA6939" w:rsidRDefault="006916DC" w:rsidP="00CA6939">
      <w:pPr>
        <w:jc w:val="center"/>
        <w:rPr>
          <w:b/>
          <w:lang w:val="en-US"/>
        </w:rPr>
      </w:pPr>
    </w:p>
    <w:p w:rsidR="006916DC" w:rsidRPr="00CA6939" w:rsidRDefault="006916DC" w:rsidP="00CA6939">
      <w:pPr>
        <w:rPr>
          <w:lang w:val="en-US"/>
        </w:rPr>
      </w:pPr>
      <w:r w:rsidRPr="00CA6939">
        <w:rPr>
          <w:b/>
          <w:lang w:val="en-US"/>
        </w:rPr>
        <w:t>A</w:t>
      </w:r>
      <w:r w:rsidR="0063398D" w:rsidRPr="00CA6939">
        <w:rPr>
          <w:b/>
          <w:lang w:val="en-US"/>
        </w:rPr>
        <w:t>bstract</w:t>
      </w:r>
      <w:r w:rsidR="00D142DC">
        <w:rPr>
          <w:lang w:val="en-US"/>
        </w:rPr>
        <w:t>:</w:t>
      </w:r>
      <w:r w:rsidRPr="00CA6939">
        <w:rPr>
          <w:lang w:val="en-US"/>
        </w:rPr>
        <w:t xml:space="preserve"> Numerous researches have been developed in order to optimize the vegetables production using residues obtained from the processing of other raw materials, highlighting the use of </w:t>
      </w:r>
      <w:r w:rsidRPr="00F676C7">
        <w:rPr>
          <w:lang w:val="en-US"/>
        </w:rPr>
        <w:t>manipueira</w:t>
      </w:r>
      <w:r w:rsidRPr="00CA6939">
        <w:rPr>
          <w:lang w:val="en-US"/>
        </w:rPr>
        <w:t xml:space="preserve">, residual effluent released during the processing of cassava, as it presents a significant organic load and important nutrients for the plant </w:t>
      </w:r>
      <w:r w:rsidRPr="00CA6939">
        <w:rPr>
          <w:lang w:val="en-US"/>
        </w:rPr>
        <w:lastRenderedPageBreak/>
        <w:t xml:space="preserve">development. In this context, the present study aimed to evaluate the growth and production of 'Verdão' coriander submitted to </w:t>
      </w:r>
      <w:r w:rsidRPr="00CA6939">
        <w:rPr>
          <w:i/>
          <w:lang w:val="en-US"/>
        </w:rPr>
        <w:t>manipueira</w:t>
      </w:r>
      <w:r w:rsidRPr="00CA6939">
        <w:rPr>
          <w:lang w:val="en-US"/>
        </w:rPr>
        <w:t xml:space="preserve"> doses, in the absence and presence of bovine manure. The study was conducted in a greenhouse at UFRB, at Cruz das Almas, Bahia, Brazil, in a completely randomized design, with the treatments distributed in a factorial scheme (2 x 5) with 5 replications, totaling 50 experimental units. The studied factors were: presence (</w:t>
      </w:r>
      <w:smartTag w:uri="urn:schemas-microsoft-com:office:smarttags" w:element="metricconverter">
        <w:smartTagPr>
          <w:attr w:name="ProductID" w:val="3.9 kg"/>
        </w:smartTagPr>
        <w:r w:rsidRPr="00CA6939">
          <w:rPr>
            <w:lang w:val="en-US"/>
          </w:rPr>
          <w:t>3.9 kg</w:t>
        </w:r>
      </w:smartTag>
      <w:r w:rsidRPr="00CA6939">
        <w:rPr>
          <w:lang w:val="en-US"/>
        </w:rPr>
        <w:t xml:space="preserve"> m</w:t>
      </w:r>
      <w:r w:rsidRPr="00CA6939">
        <w:rPr>
          <w:vertAlign w:val="superscript"/>
          <w:lang w:val="en-US"/>
        </w:rPr>
        <w:t>-2</w:t>
      </w:r>
      <w:r w:rsidRPr="00CA6939">
        <w:rPr>
          <w:lang w:val="en-US"/>
        </w:rPr>
        <w:t xml:space="preserve">) and absence of bovine manure and doses of </w:t>
      </w:r>
      <w:r w:rsidRPr="00F676C7">
        <w:rPr>
          <w:lang w:val="en-US"/>
        </w:rPr>
        <w:t>manipueira</w:t>
      </w:r>
      <w:r w:rsidRPr="00CA6939">
        <w:rPr>
          <w:lang w:val="en-US"/>
        </w:rPr>
        <w:t xml:space="preserve"> (0, 15, 30, 45, and </w:t>
      </w:r>
      <w:smartTag w:uri="urn:schemas-microsoft-com:office:smarttags" w:element="metricconverter">
        <w:smartTagPr>
          <w:attr w:name="ProductID" w:val="60 mﾳ"/>
        </w:smartTagPr>
        <w:r w:rsidRPr="00CA6939">
          <w:rPr>
            <w:lang w:val="en-US"/>
          </w:rPr>
          <w:t>60 m³</w:t>
        </w:r>
      </w:smartTag>
      <w:r w:rsidRPr="00CA6939">
        <w:rPr>
          <w:lang w:val="en-US"/>
        </w:rPr>
        <w:t xml:space="preserve"> ha</w:t>
      </w:r>
      <w:r w:rsidRPr="00CA6939">
        <w:rPr>
          <w:vertAlign w:val="superscript"/>
          <w:lang w:val="en-US"/>
        </w:rPr>
        <w:t>-1</w:t>
      </w:r>
      <w:r w:rsidRPr="00CA6939">
        <w:rPr>
          <w:lang w:val="en-US"/>
        </w:rPr>
        <w:t>). Plastic pots with a capacity of 3 dm³ were used, filled with soil from the 0-</w:t>
      </w:r>
      <w:smartTag w:uri="urn:schemas-microsoft-com:office:smarttags" w:element="metricconverter">
        <w:smartTagPr>
          <w:attr w:name="ProductID" w:val="0.20 m"/>
        </w:smartTagPr>
        <w:r w:rsidRPr="00CA6939">
          <w:rPr>
            <w:lang w:val="en-US"/>
          </w:rPr>
          <w:t>0.20 m</w:t>
        </w:r>
      </w:smartTag>
      <w:r w:rsidRPr="00CA6939">
        <w:rPr>
          <w:lang w:val="en-US"/>
        </w:rPr>
        <w:t xml:space="preserve"> layer of a typical Latossolo Amarelo (Densic Ferralsol; Oxisol). The highest yields of 'Verdão' coriander were obtained with the application of </w:t>
      </w:r>
      <w:r w:rsidRPr="00F676C7">
        <w:rPr>
          <w:lang w:val="en-US"/>
        </w:rPr>
        <w:t>manipueira</w:t>
      </w:r>
      <w:r w:rsidRPr="00CA6939">
        <w:rPr>
          <w:lang w:val="en-US"/>
        </w:rPr>
        <w:t xml:space="preserve"> in conjunction with bovine manure. The application of </w:t>
      </w:r>
      <w:smartTag w:uri="urn:schemas-microsoft-com:office:smarttags" w:element="metricconverter">
        <w:smartTagPr>
          <w:attr w:name="ProductID" w:val="45 mﾳ"/>
        </w:smartTagPr>
        <w:r w:rsidRPr="00CA6939">
          <w:rPr>
            <w:lang w:val="en-US"/>
          </w:rPr>
          <w:t>45 m³</w:t>
        </w:r>
      </w:smartTag>
      <w:r w:rsidRPr="00CA6939">
        <w:rPr>
          <w:lang w:val="en-US"/>
        </w:rPr>
        <w:t xml:space="preserve"> ha</w:t>
      </w:r>
      <w:r w:rsidRPr="00CA6939">
        <w:rPr>
          <w:vertAlign w:val="superscript"/>
          <w:lang w:val="en-US"/>
        </w:rPr>
        <w:t>-1</w:t>
      </w:r>
      <w:r w:rsidRPr="00CA6939">
        <w:rPr>
          <w:lang w:val="en-US"/>
        </w:rPr>
        <w:t xml:space="preserve"> of </w:t>
      </w:r>
      <w:r w:rsidRPr="00F676C7">
        <w:rPr>
          <w:lang w:val="en-US"/>
        </w:rPr>
        <w:t>manipueira</w:t>
      </w:r>
      <w:r w:rsidRPr="00CA6939">
        <w:rPr>
          <w:lang w:val="en-US"/>
        </w:rPr>
        <w:t xml:space="preserve">, in the presence of bovine manure, provided larger leaf area, fresh mass of the aerial part and succulence of the aerial part. The treatments submitted only to the different doses of </w:t>
      </w:r>
      <w:r w:rsidRPr="00F676C7">
        <w:rPr>
          <w:lang w:val="en-US"/>
        </w:rPr>
        <w:t>manipueira</w:t>
      </w:r>
      <w:r w:rsidRPr="00CA6939">
        <w:rPr>
          <w:lang w:val="en-US"/>
        </w:rPr>
        <w:t xml:space="preserve">, in the absence of bovine manure, showed a positive linear response for most of the variables analyzed, indicating that higher doses of </w:t>
      </w:r>
      <w:r w:rsidRPr="00CA6939">
        <w:rPr>
          <w:i/>
          <w:lang w:val="en-US"/>
        </w:rPr>
        <w:t>manipueira</w:t>
      </w:r>
      <w:r w:rsidRPr="00CA6939">
        <w:rPr>
          <w:lang w:val="en-US"/>
        </w:rPr>
        <w:t xml:space="preserve"> could suppress the nutritional demand of coriander in substitution to bovine manure.</w:t>
      </w:r>
    </w:p>
    <w:p w:rsidR="006916DC" w:rsidRPr="00CA6939" w:rsidRDefault="006916DC" w:rsidP="00CA6939">
      <w:pPr>
        <w:rPr>
          <w:lang w:val="en-US"/>
        </w:rPr>
      </w:pPr>
    </w:p>
    <w:p w:rsidR="006916DC" w:rsidRPr="00CA6939" w:rsidRDefault="006916DC" w:rsidP="00CA6939">
      <w:r w:rsidRPr="00CA6939">
        <w:rPr>
          <w:b/>
        </w:rPr>
        <w:t xml:space="preserve">Key words: </w:t>
      </w:r>
      <w:r w:rsidRPr="00CA6939">
        <w:t xml:space="preserve">Cassava wastewater; </w:t>
      </w:r>
      <w:r w:rsidRPr="00CA6939">
        <w:rPr>
          <w:i/>
        </w:rPr>
        <w:t>Coriandrum sativum</w:t>
      </w:r>
      <w:r w:rsidRPr="00CA6939">
        <w:t xml:space="preserve"> L.; Organic fertilization; </w:t>
      </w:r>
      <w:r w:rsidRPr="00CA6939">
        <w:rPr>
          <w:i/>
        </w:rPr>
        <w:t>Manihot esculenta</w:t>
      </w:r>
      <w:r w:rsidRPr="00CA6939">
        <w:t xml:space="preserve"> Crantz; Reuse.</w:t>
      </w:r>
    </w:p>
    <w:p w:rsidR="006916DC" w:rsidRDefault="006916DC" w:rsidP="00CA6939"/>
    <w:p w:rsidR="0063398D" w:rsidRPr="0063398D" w:rsidRDefault="0063398D" w:rsidP="0063398D">
      <w:pPr>
        <w:rPr>
          <w:b/>
          <w:lang w:val="es-ES_tradnl"/>
        </w:rPr>
      </w:pPr>
      <w:r w:rsidRPr="0063398D">
        <w:rPr>
          <w:b/>
          <w:lang w:val="es-ES_tradnl"/>
        </w:rPr>
        <w:t>Producción de cilantro 'Verdão' en respuesta a diferentes dosis de manipueira</w:t>
      </w:r>
    </w:p>
    <w:p w:rsidR="0063398D" w:rsidRPr="0063398D" w:rsidRDefault="0063398D" w:rsidP="0063398D">
      <w:pPr>
        <w:rPr>
          <w:lang w:val="es-ES_tradnl"/>
        </w:rPr>
      </w:pPr>
    </w:p>
    <w:p w:rsidR="0063398D" w:rsidRPr="0063398D" w:rsidRDefault="0063398D" w:rsidP="0063398D">
      <w:pPr>
        <w:rPr>
          <w:lang w:val="es-ES_tradnl"/>
        </w:rPr>
      </w:pPr>
      <w:r w:rsidRPr="0063398D">
        <w:rPr>
          <w:b/>
          <w:lang w:val="es-ES_tradnl"/>
        </w:rPr>
        <w:t>R</w:t>
      </w:r>
      <w:r w:rsidRPr="0063398D">
        <w:rPr>
          <w:b/>
          <w:lang w:val="es-ES_tradnl"/>
        </w:rPr>
        <w:t>esumen</w:t>
      </w:r>
      <w:r w:rsidRPr="0063398D">
        <w:rPr>
          <w:b/>
          <w:lang w:val="es-ES_tradnl"/>
        </w:rPr>
        <w:t>:</w:t>
      </w:r>
      <w:r w:rsidRPr="0063398D">
        <w:rPr>
          <w:lang w:val="es-ES_tradnl"/>
        </w:rPr>
        <w:t xml:space="preserve"> Se han desarrollado numerosas investigaciones para optimizar la producción de vegetales utilizando residuos obtenidos del procesamiento de otras materias primas, destacando el uso de manipueira, efluente residual liberado durante el procesamiento de la yuca, ya que tiene una carga orgánica significativa y nutri</w:t>
      </w:r>
      <w:r>
        <w:rPr>
          <w:lang w:val="es-ES_tradnl"/>
        </w:rPr>
        <w:t>entes importantes</w:t>
      </w:r>
      <w:r w:rsidRPr="0063398D">
        <w:rPr>
          <w:lang w:val="es-ES_tradnl"/>
        </w:rPr>
        <w:t xml:space="preserve"> para desarrollo de plantas. En este contexto, el presente estudio tuvo como objetivo evaluar el crecimiento y la producción de cilantro 'Verdão' sometido a dosis de manipueira, en ausencia y presencia de estiércol bovino. El estudio se realizó en un invernadero en UFRB, en Cruz das Almas-BA, en un diseño completamente al azar, con los tratamientos distribuidos en un esquema factorial (2 x 5) con 5 repeticiones, totalizando 50 unidades experimentales. Los factores estudiados fueron: presencia (3.9 kg m-2) y ausencia de estiércol bovino y dosis de manipueira (0, 15, 30, 45 y 60 m³ ha-1). Se utilizaron macetas </w:t>
      </w:r>
      <w:r w:rsidRPr="0063398D">
        <w:rPr>
          <w:lang w:val="es-ES_tradnl"/>
        </w:rPr>
        <w:lastRenderedPageBreak/>
        <w:t>de plástico con una capacidad de 3 dm³, rellenas con tierra de la capa de 0-0,20 m de un LATOSOL AMARILLO típico. Los mayores rendimientos de cilantro 'Verdão' se obtuvieron con la aplicación de manipueira junto con estiércol bovino. La aplicación de 45 m³ ha-1 de manipueira, en presencia de estiércol bovino, proporcionó mayor área foliar, masa fresca de la parte aérea y suculencia de la parte aérea. Los tratamientos sometidos solo a las diferentes dosis de manipueira, en ausencia de estiércol bovino, mostraron una respuesta lineal positiva para la mayoría de las variables analizadas, lo que indica que dosis más altas de manipueira podrían suprimir la demanda nutricional de cilantro en lugar de estiércol bovino.</w:t>
      </w:r>
    </w:p>
    <w:p w:rsidR="0063398D" w:rsidRPr="0063398D" w:rsidRDefault="0063398D" w:rsidP="0063398D">
      <w:pPr>
        <w:rPr>
          <w:lang w:val="es-ES_tradnl"/>
        </w:rPr>
      </w:pPr>
    </w:p>
    <w:p w:rsidR="0063398D" w:rsidRDefault="0063398D" w:rsidP="0063398D">
      <w:r w:rsidRPr="0063398D">
        <w:rPr>
          <w:b/>
        </w:rPr>
        <w:t>Palabras clave:</w:t>
      </w:r>
      <w:r>
        <w:t xml:space="preserve"> </w:t>
      </w:r>
      <w:r>
        <w:t>A</w:t>
      </w:r>
      <w:r>
        <w:t xml:space="preserve">guas residuales de yuca; </w:t>
      </w:r>
      <w:r w:rsidRPr="0063398D">
        <w:rPr>
          <w:i/>
        </w:rPr>
        <w:t>Coriandrum sativum</w:t>
      </w:r>
      <w:r>
        <w:t xml:space="preserve"> L</w:t>
      </w:r>
      <w:r>
        <w:t>.; Fertilizacion organica; Manihot esculenta Crantz; Reutilizar</w:t>
      </w:r>
    </w:p>
    <w:p w:rsidR="0063398D" w:rsidRPr="00CA6939" w:rsidRDefault="0063398D" w:rsidP="00CA6939"/>
    <w:p w:rsidR="006916DC" w:rsidRPr="0063398D" w:rsidRDefault="0063398D" w:rsidP="00CA6939">
      <w:pPr>
        <w:rPr>
          <w:b/>
        </w:rPr>
      </w:pPr>
      <w:bookmarkStart w:id="0" w:name="_Toc38286764"/>
      <w:r w:rsidRPr="00D142DC">
        <w:rPr>
          <w:b/>
          <w:lang w:val="en-US"/>
        </w:rPr>
        <w:t>Introdução</w:t>
      </w:r>
      <w:bookmarkEnd w:id="0"/>
      <w:r>
        <w:rPr>
          <w:b/>
        </w:rPr>
        <w:t xml:space="preserve"> </w:t>
      </w:r>
    </w:p>
    <w:p w:rsidR="006916DC" w:rsidRPr="00CA6939" w:rsidRDefault="006916DC" w:rsidP="00CA6939">
      <w:pPr>
        <w:ind w:firstLine="708"/>
      </w:pPr>
      <w:r w:rsidRPr="00CA6939">
        <w:t xml:space="preserve">O coentro é uma hortaliça nativa das regiões mediterrâneas. Seu consumo remonta a </w:t>
      </w:r>
      <w:smartTag w:uri="urn:schemas-microsoft-com:office:smarttags" w:element="metricconverter">
        <w:smartTagPr>
          <w:attr w:name="ProductID" w:val="5.000 a"/>
        </w:smartTagPr>
        <w:r w:rsidRPr="00CA6939">
          <w:t>5.000 a</w:t>
        </w:r>
      </w:smartTag>
      <w:r w:rsidRPr="00CA6939">
        <w:t>.C., tornando-o um dos condimentos mais antigos do mundo. Na antiguidade foi utilizado na preparação de pães e carnes pelos gregos e romanos. Sua utilização continua bastante difundida em todo o mundo, sobretudo nos países da América Latina, Índia e China (REIS; LOPES, 2016; FIKADU-LEBETA et al., 2019).</w:t>
      </w:r>
    </w:p>
    <w:p w:rsidR="006916DC" w:rsidRPr="00CA6939" w:rsidRDefault="006916DC" w:rsidP="00CA6939">
      <w:pPr>
        <w:ind w:firstLine="708"/>
      </w:pPr>
      <w:r w:rsidRPr="00CA6939">
        <w:t xml:space="preserve">No Brasil, o coentro configura-se com uma das hortaliças mais consumidas, principalmente na culinária das regiões Norte e Nordeste, por meio do consumo in natura das folhas, dando aroma e sabor a diversos pratos. A cultura apresenta estimado valor socioeconômico e seu cultivo é realizado durante o ano todo, principalmente por pequenos e médios produtores (LINHARES et al., 2015; CARDOSO et al., 2019). Silva et al. (2016) descreveram que a cultivar ‘Verdão’ é líder de mercado no Brasil, porquanto apresenta ciclo precoce, podendo ser colhida de </w:t>
      </w:r>
      <w:smartTag w:uri="urn:schemas-microsoft-com:office:smarttags" w:element="metricconverter">
        <w:smartTagPr>
          <w:attr w:name="ProductID" w:val="30 a"/>
        </w:smartTagPr>
        <w:r w:rsidRPr="00CA6939">
          <w:t>30 a</w:t>
        </w:r>
      </w:smartTag>
      <w:r w:rsidRPr="00CA6939">
        <w:t xml:space="preserve"> 40 dias após o plantio</w:t>
      </w:r>
    </w:p>
    <w:p w:rsidR="006916DC" w:rsidRPr="00CA6939" w:rsidRDefault="006916DC" w:rsidP="00CA6939">
      <w:pPr>
        <w:ind w:firstLine="708"/>
      </w:pPr>
      <w:r w:rsidRPr="00CA6939">
        <w:t xml:space="preserve">Embora seja uma hortaliça pouca exigente quanto à fertilidade do solo, o coentro apresenta respostas satisfatórias à fertilização orgânica e mineral (CARDOSO et al., 2019). De acordo com a base de dados do IBGE (2020), referente ao censo agropecuário de 2006, dos 34.018 produtores de coentro cerca de 52,6 % utilizaram adubos orgânicos na produção, 24,8 % utilizaram adubação química e orgânica, 14,5 % não utilizaram adubo e apenas 8,1 % utilizaram fontes de adubação química. </w:t>
      </w:r>
    </w:p>
    <w:p w:rsidR="006916DC" w:rsidRPr="00CA6939" w:rsidRDefault="006916DC" w:rsidP="00CA6939">
      <w:pPr>
        <w:ind w:firstLine="708"/>
      </w:pPr>
      <w:r w:rsidRPr="00CA6939">
        <w:lastRenderedPageBreak/>
        <w:t xml:space="preserve">Linhares et al. (2015) descreveram que a crescente demanda por adubos orgânicos na produção de olerícolas está relacionada aos seus efeitos benéficos sobre atributos físicos e químicos do solo, além de custos elevados para aquisição de adubos minerais. Alves et al. (2005) apontaram o esterco bovino como um dos principais adubos orgânicos, apresentando maior potencial de uso pelos pequenos agricultores da região nordestina. </w:t>
      </w:r>
    </w:p>
    <w:p w:rsidR="006916DC" w:rsidRPr="00CA6939" w:rsidRDefault="006916DC" w:rsidP="00CA6939">
      <w:pPr>
        <w:ind w:firstLine="708"/>
        <w:rPr>
          <w:color w:val="222222"/>
          <w:shd w:val="clear" w:color="auto" w:fill="FFFFFF"/>
        </w:rPr>
      </w:pPr>
      <w:r w:rsidRPr="00CA6939">
        <w:t xml:space="preserve">Fikadu-Lebeta et al. (2019) expuseram que </w:t>
      </w:r>
      <w:r w:rsidRPr="00CA6939">
        <w:rPr>
          <w:color w:val="222222"/>
          <w:shd w:val="clear" w:color="auto" w:fill="FFFFFF"/>
        </w:rPr>
        <w:t>a decomposição de fertilizantes orgânicos, como esterco de bovino e de aves, depende da temperatura e umidade do solo, podendo liberar seus nutrientes quando as plantas não precisarem mais deles. Segundo Torres et al. (2016), inúmeras pesquisas vêm sendo desenvolvidas com intuito de otimizar a produção de hortaliças utilizando resíduos obtidos a partir do processamento de outras matérias primas, destacando a utilização da manipueira, efluente residual liberado durante o processamento da mandioca (</w:t>
      </w:r>
      <w:r w:rsidRPr="00CA6939">
        <w:rPr>
          <w:i/>
          <w:color w:val="222222"/>
          <w:shd w:val="clear" w:color="auto" w:fill="FFFFFF"/>
        </w:rPr>
        <w:t>Manihot esculenta</w:t>
      </w:r>
      <w:r w:rsidRPr="00CA6939">
        <w:rPr>
          <w:color w:val="222222"/>
          <w:shd w:val="clear" w:color="auto" w:fill="FFFFFF"/>
        </w:rPr>
        <w:t xml:space="preserve"> Crantz), devido à presença de nutrientes importantes para o desenvolvimento das plantas.   </w:t>
      </w:r>
    </w:p>
    <w:p w:rsidR="006916DC" w:rsidRPr="00CA6939" w:rsidRDefault="006916DC" w:rsidP="00CA6939">
      <w:pPr>
        <w:ind w:firstLine="708"/>
      </w:pPr>
      <w:r w:rsidRPr="00CA6939">
        <w:rPr>
          <w:color w:val="222222"/>
          <w:shd w:val="clear" w:color="auto" w:fill="FFFFFF"/>
        </w:rPr>
        <w:t xml:space="preserve">A manipueira vem sendo utilizada como alternativa vantajosa e promissora no suprimento da demanda nutricional de culturas, como mostram os estudos apresentados pela literatura (DUARTE et al., 2012; DANTAS et al., 2015; </w:t>
      </w:r>
      <w:r w:rsidRPr="00CA6939">
        <w:t>BEZERRA; BEZERRA, 2016; DINIZ et al., 2016; BEZERRA et al., 2017). Sua relevância está associada à elevada carga orgânica e à presença de diversos nutrientes, como: nitrogênio, fósforo, potássio, cálcio e magnésio.</w:t>
      </w:r>
    </w:p>
    <w:p w:rsidR="006916DC" w:rsidRPr="00CA6939" w:rsidRDefault="006916DC" w:rsidP="00CA6939">
      <w:pPr>
        <w:ind w:firstLine="708"/>
      </w:pPr>
      <w:r w:rsidRPr="00CA6939">
        <w:t>O aproveitamento da manipueira como adubo configura-se como uma oportunidade para, ao mesmo tempo, reduzir problemas sanitários causados pelo lançamento indiscriminado do mesmo nas proximidades das casas de farinha, melhorar a qualidade ambiental e, por fim, proporcionar alternativa para geração de renda por agricultores familiares que têm a mandioca como um dos principais cultivos.</w:t>
      </w:r>
    </w:p>
    <w:p w:rsidR="006916DC" w:rsidRPr="00CA6939" w:rsidRDefault="006916DC" w:rsidP="00CA6939">
      <w:pPr>
        <w:ind w:firstLine="708"/>
      </w:pPr>
      <w:r w:rsidRPr="00CA6939">
        <w:t xml:space="preserve">Levando em consideração a presença de expressiva carga orgânica e de nutrientes essenciais para o desenvolvimento de plantas na manipueira, admitiu-se como hipótese deste trabalho a utilização desse efluente como fertilizante orgânico para a produção de coentro ‘Verdão’, em substituição ao esterco bovino. </w:t>
      </w:r>
    </w:p>
    <w:p w:rsidR="006916DC" w:rsidRPr="00CA6939" w:rsidRDefault="006916DC" w:rsidP="00CA6939">
      <w:pPr>
        <w:ind w:firstLine="708"/>
      </w:pPr>
      <w:r w:rsidRPr="00CA6939">
        <w:t>Nesse contexto, o presente trabalho objetivou avaliar o crescimento e produção do coentro 'Verdão' submetido a doses de manipueira, na ausência e presença de esterco bovino.</w:t>
      </w:r>
    </w:p>
    <w:p w:rsidR="00D142DC" w:rsidRDefault="00D142DC" w:rsidP="00D142DC">
      <w:pPr>
        <w:pStyle w:val="Ttulo1"/>
      </w:pPr>
      <w:bookmarkStart w:id="1" w:name="_Toc30249973"/>
      <w:bookmarkStart w:id="2" w:name="_Toc38286765"/>
    </w:p>
    <w:p w:rsidR="006916DC" w:rsidRPr="0063398D" w:rsidRDefault="0063398D" w:rsidP="0063398D">
      <w:pPr>
        <w:rPr>
          <w:b/>
        </w:rPr>
      </w:pPr>
      <w:r w:rsidRPr="00D142DC">
        <w:rPr>
          <w:b/>
        </w:rPr>
        <w:t xml:space="preserve">Material e </w:t>
      </w:r>
      <w:r>
        <w:rPr>
          <w:b/>
        </w:rPr>
        <w:t>m</w:t>
      </w:r>
      <w:r w:rsidRPr="00D142DC">
        <w:rPr>
          <w:b/>
        </w:rPr>
        <w:t>étodos</w:t>
      </w:r>
      <w:bookmarkEnd w:id="1"/>
      <w:bookmarkEnd w:id="2"/>
    </w:p>
    <w:p w:rsidR="006916DC" w:rsidRPr="00CA6939" w:rsidRDefault="006916DC" w:rsidP="00CA6939">
      <w:pPr>
        <w:ind w:firstLine="708"/>
      </w:pPr>
      <w:r w:rsidRPr="00CA6939">
        <w:t xml:space="preserve">O estudo foi conduzido em casa de vegetação do Núcleo de Engenharia de Água e Solo – NEAS, localizado na Universidade Federal do Recôncavo da Bahia, em Cruz das Almas, Bahia, Brasil (12°39'48.84" S; 39°5'15.17"O; e </w:t>
      </w:r>
      <w:smartTag w:uri="urn:schemas-microsoft-com:office:smarttags" w:element="metricconverter">
        <w:smartTagPr>
          <w:attr w:name="ProductID" w:val="220 m"/>
        </w:smartTagPr>
        <w:r w:rsidRPr="00CA6939">
          <w:t>220 m</w:t>
        </w:r>
      </w:smartTag>
      <w:r w:rsidRPr="00CA6939">
        <w:t xml:space="preserve"> de altitude). Segundo a classificação de Köppen-Geiger a região apresenta clima tropical úmido (Af), com ocorrência de precipitação em quase todos os meses do ano (ALVARES et al., 2014).</w:t>
      </w:r>
    </w:p>
    <w:p w:rsidR="006916DC" w:rsidRPr="00CA6939" w:rsidRDefault="006916DC" w:rsidP="00CA6939">
      <w:pPr>
        <w:ind w:firstLine="708"/>
      </w:pPr>
      <w:r w:rsidRPr="00CA6939">
        <w:t xml:space="preserve">Foram utilizados vasos de plástico com capacidade de 3 dm³ preenchido com </w:t>
      </w:r>
      <w:smartTag w:uri="urn:schemas-microsoft-com:office:smarttags" w:element="metricconverter">
        <w:smartTagPr>
          <w:attr w:name="ProductID" w:val="2,5 kg"/>
        </w:smartTagPr>
        <w:r w:rsidRPr="00CA6939">
          <w:t>2,5 kg</w:t>
        </w:r>
      </w:smartTag>
      <w:r w:rsidRPr="00CA6939">
        <w:t xml:space="preserve"> de um LATOSSOLO AMARELO Distrocoeso típico, conforme classificação realizada por Jacomine et al. (1977) e atualizada de acordo com Santos et al. (2018), coletado na camada de 0-</w:t>
      </w:r>
      <w:smartTag w:uri="urn:schemas-microsoft-com:office:smarttags" w:element="metricconverter">
        <w:smartTagPr>
          <w:attr w:name="ProductID" w:val="0,20 m"/>
        </w:smartTagPr>
        <w:r w:rsidRPr="00CA6939">
          <w:t>0,20 m</w:t>
        </w:r>
      </w:smartTag>
      <w:r w:rsidRPr="00CA6939">
        <w:t xml:space="preserve">. A </w:t>
      </w:r>
      <w:r w:rsidR="00FD2E33">
        <w:t>T</w:t>
      </w:r>
      <w:r w:rsidRPr="00CA6939">
        <w:t>abela 1 apresenta a composição textural do solo, determinada pelo método da pipeta utilizando NaOH 1 mol L</w:t>
      </w:r>
      <w:r w:rsidRPr="00CA6939">
        <w:rPr>
          <w:vertAlign w:val="superscript"/>
        </w:rPr>
        <w:t xml:space="preserve">-1 </w:t>
      </w:r>
      <w:r w:rsidRPr="00CA6939">
        <w:t xml:space="preserve">como dispersante e caracterização química preliminar do solo (TEIXEIRA et al., 2017). Foi adicionado calcário dolomítico para correção do pH, de 5,10 para 6,67, pelo método da incubação (SOUZA et al., 2007). </w:t>
      </w:r>
    </w:p>
    <w:p w:rsidR="006916DC" w:rsidRPr="00CA6939" w:rsidRDefault="006916DC" w:rsidP="00CA6939">
      <w:pPr>
        <w:pStyle w:val="Tabela"/>
        <w:spacing w:line="360" w:lineRule="auto"/>
      </w:pPr>
      <w:bookmarkStart w:id="3" w:name="_Toc30156650"/>
    </w:p>
    <w:p w:rsidR="006916DC" w:rsidRPr="00CA6939" w:rsidRDefault="0063398D" w:rsidP="00CA6939">
      <w:pPr>
        <w:pStyle w:val="Tabela"/>
        <w:spacing w:line="360" w:lineRule="auto"/>
      </w:pPr>
      <w:bookmarkStart w:id="4" w:name="_Toc38211747"/>
      <w:r w:rsidRPr="0063398D">
        <w:rPr>
          <w:b/>
        </w:rPr>
        <w:t>Tabela 1 –</w:t>
      </w:r>
      <w:r w:rsidR="006916DC" w:rsidRPr="00CA6939">
        <w:t xml:space="preserve"> Atributos químicos e composição textural do LATOSSOLO AMARELO Distrocoeso típico utilizado, coletado na camada de 0-</w:t>
      </w:r>
      <w:smartTag w:uri="urn:schemas-microsoft-com:office:smarttags" w:element="metricconverter">
        <w:smartTagPr>
          <w:attr w:name="ProductID" w:val="0,20 m"/>
        </w:smartTagPr>
        <w:r w:rsidR="006916DC" w:rsidRPr="00CA6939">
          <w:t>0,20 m</w:t>
        </w:r>
      </w:smartTag>
      <w:bookmarkEnd w:id="3"/>
      <w:r w:rsidR="006916DC" w:rsidRPr="00CA6939">
        <w:t>, em Cruz das Almas-BA, 2019.</w:t>
      </w:r>
      <w:bookmarkEnd w:id="4"/>
    </w:p>
    <w:tbl>
      <w:tblPr>
        <w:tblW w:w="9667" w:type="dxa"/>
        <w:jc w:val="center"/>
        <w:tblBorders>
          <w:top w:val="single" w:sz="4" w:space="0" w:color="auto"/>
          <w:bottom w:val="single" w:sz="4" w:space="0" w:color="auto"/>
        </w:tblBorders>
        <w:tblLayout w:type="fixed"/>
        <w:tblLook w:val="04A0" w:firstRow="1" w:lastRow="0" w:firstColumn="1" w:lastColumn="0" w:noHBand="0" w:noVBand="1"/>
      </w:tblPr>
      <w:tblGrid>
        <w:gridCol w:w="1053"/>
        <w:gridCol w:w="851"/>
        <w:gridCol w:w="708"/>
        <w:gridCol w:w="732"/>
        <w:gridCol w:w="600"/>
        <w:gridCol w:w="600"/>
        <w:gridCol w:w="277"/>
        <w:gridCol w:w="323"/>
        <w:gridCol w:w="720"/>
        <w:gridCol w:w="600"/>
        <w:gridCol w:w="843"/>
        <w:gridCol w:w="840"/>
        <w:gridCol w:w="720"/>
        <w:gridCol w:w="800"/>
      </w:tblGrid>
      <w:tr w:rsidR="006916DC" w:rsidRPr="00D142DC" w:rsidTr="00D142DC">
        <w:trPr>
          <w:trHeight w:val="348"/>
          <w:jc w:val="center"/>
        </w:trPr>
        <w:tc>
          <w:tcPr>
            <w:tcW w:w="1053" w:type="dxa"/>
            <w:vMerge w:val="restart"/>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b/>
                <w:sz w:val="22"/>
                <w:szCs w:val="22"/>
                <w:lang w:eastAsia="pt-BR"/>
              </w:rPr>
            </w:pPr>
            <w:r w:rsidRPr="00D142DC">
              <w:rPr>
                <w:b/>
                <w:sz w:val="22"/>
                <w:szCs w:val="22"/>
                <w:lang w:eastAsia="pt-BR"/>
              </w:rPr>
              <w:t>pH em água</w:t>
            </w:r>
            <w:r w:rsidRPr="00D142DC">
              <w:rPr>
                <w:b/>
                <w:sz w:val="22"/>
                <w:szCs w:val="22"/>
                <w:vertAlign w:val="superscript"/>
              </w:rPr>
              <w:t>(</w:t>
            </w:r>
            <w:r w:rsidRPr="00D142DC">
              <w:rPr>
                <w:b/>
                <w:sz w:val="22"/>
                <w:szCs w:val="22"/>
                <w:vertAlign w:val="superscript"/>
                <w:lang w:eastAsia="pt-BR"/>
              </w:rPr>
              <w:t>1)</w:t>
            </w:r>
          </w:p>
        </w:tc>
        <w:tc>
          <w:tcPr>
            <w:tcW w:w="851" w:type="dxa"/>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b/>
                <w:sz w:val="22"/>
                <w:szCs w:val="22"/>
                <w:lang w:eastAsia="pt-BR"/>
              </w:rPr>
            </w:pPr>
            <w:r w:rsidRPr="00D142DC">
              <w:rPr>
                <w:b/>
                <w:sz w:val="22"/>
                <w:szCs w:val="22"/>
                <w:lang w:eastAsia="pt-BR"/>
              </w:rPr>
              <w:t>CE</w:t>
            </w:r>
          </w:p>
        </w:tc>
        <w:tc>
          <w:tcPr>
            <w:tcW w:w="708" w:type="dxa"/>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b/>
                <w:sz w:val="22"/>
                <w:szCs w:val="22"/>
                <w:vertAlign w:val="superscript"/>
                <w:lang w:eastAsia="pt-BR"/>
              </w:rPr>
            </w:pPr>
            <w:r w:rsidRPr="00D142DC">
              <w:rPr>
                <w:b/>
                <w:sz w:val="22"/>
                <w:szCs w:val="22"/>
                <w:lang w:eastAsia="pt-BR"/>
              </w:rPr>
              <w:t>P</w:t>
            </w:r>
          </w:p>
        </w:tc>
        <w:tc>
          <w:tcPr>
            <w:tcW w:w="732" w:type="dxa"/>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b/>
                <w:sz w:val="22"/>
                <w:szCs w:val="22"/>
                <w:lang w:eastAsia="pt-BR"/>
              </w:rPr>
            </w:pPr>
            <w:r w:rsidRPr="00D142DC">
              <w:rPr>
                <w:b/>
                <w:sz w:val="22"/>
                <w:szCs w:val="22"/>
                <w:lang w:eastAsia="pt-BR"/>
              </w:rPr>
              <w:t>K</w:t>
            </w:r>
          </w:p>
        </w:tc>
        <w:tc>
          <w:tcPr>
            <w:tcW w:w="600" w:type="dxa"/>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b/>
                <w:sz w:val="22"/>
                <w:szCs w:val="22"/>
                <w:lang w:eastAsia="pt-BR"/>
              </w:rPr>
            </w:pPr>
            <w:r w:rsidRPr="00D142DC">
              <w:rPr>
                <w:b/>
                <w:sz w:val="22"/>
                <w:szCs w:val="22"/>
                <w:lang w:eastAsia="pt-BR"/>
              </w:rPr>
              <w:t>Ca</w:t>
            </w:r>
          </w:p>
        </w:tc>
        <w:tc>
          <w:tcPr>
            <w:tcW w:w="600" w:type="dxa"/>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b/>
                <w:sz w:val="22"/>
                <w:szCs w:val="22"/>
                <w:lang w:eastAsia="pt-BR"/>
              </w:rPr>
            </w:pPr>
            <w:r w:rsidRPr="00D142DC">
              <w:rPr>
                <w:b/>
                <w:sz w:val="22"/>
                <w:szCs w:val="22"/>
                <w:lang w:eastAsia="pt-BR"/>
              </w:rPr>
              <w:t>Mg</w:t>
            </w:r>
          </w:p>
        </w:tc>
        <w:tc>
          <w:tcPr>
            <w:tcW w:w="600" w:type="dxa"/>
            <w:gridSpan w:val="2"/>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b/>
                <w:sz w:val="22"/>
                <w:szCs w:val="22"/>
                <w:lang w:eastAsia="pt-BR"/>
              </w:rPr>
            </w:pPr>
            <w:r w:rsidRPr="00D142DC">
              <w:rPr>
                <w:b/>
                <w:sz w:val="22"/>
                <w:szCs w:val="22"/>
                <w:lang w:eastAsia="pt-BR"/>
              </w:rPr>
              <w:t>Na</w:t>
            </w:r>
          </w:p>
        </w:tc>
        <w:tc>
          <w:tcPr>
            <w:tcW w:w="720" w:type="dxa"/>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b/>
                <w:sz w:val="22"/>
                <w:szCs w:val="22"/>
                <w:lang w:eastAsia="pt-BR"/>
              </w:rPr>
            </w:pPr>
            <w:r w:rsidRPr="00D142DC">
              <w:rPr>
                <w:b/>
                <w:sz w:val="22"/>
                <w:szCs w:val="22"/>
                <w:lang w:eastAsia="pt-BR"/>
              </w:rPr>
              <w:t>SB</w:t>
            </w:r>
          </w:p>
        </w:tc>
        <w:tc>
          <w:tcPr>
            <w:tcW w:w="600" w:type="dxa"/>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b/>
                <w:sz w:val="22"/>
                <w:szCs w:val="22"/>
                <w:lang w:eastAsia="pt-BR"/>
              </w:rPr>
            </w:pPr>
            <w:r w:rsidRPr="00D142DC">
              <w:rPr>
                <w:b/>
                <w:sz w:val="22"/>
                <w:szCs w:val="22"/>
                <w:lang w:eastAsia="pt-BR"/>
              </w:rPr>
              <w:t>Al</w:t>
            </w:r>
          </w:p>
        </w:tc>
        <w:tc>
          <w:tcPr>
            <w:tcW w:w="843" w:type="dxa"/>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b/>
                <w:sz w:val="22"/>
                <w:szCs w:val="22"/>
                <w:lang w:eastAsia="pt-BR"/>
              </w:rPr>
            </w:pPr>
            <w:r w:rsidRPr="00D142DC">
              <w:rPr>
                <w:b/>
                <w:sz w:val="22"/>
                <w:szCs w:val="22"/>
                <w:lang w:eastAsia="pt-BR"/>
              </w:rPr>
              <w:t>H+Al</w:t>
            </w:r>
          </w:p>
        </w:tc>
        <w:tc>
          <w:tcPr>
            <w:tcW w:w="840" w:type="dxa"/>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b/>
                <w:sz w:val="22"/>
                <w:szCs w:val="22"/>
                <w:lang w:eastAsia="pt-BR"/>
              </w:rPr>
            </w:pPr>
            <w:r w:rsidRPr="00D142DC">
              <w:rPr>
                <w:b/>
                <w:sz w:val="22"/>
                <w:szCs w:val="22"/>
                <w:lang w:eastAsia="pt-BR"/>
              </w:rPr>
              <w:t>CTC</w:t>
            </w:r>
          </w:p>
        </w:tc>
        <w:tc>
          <w:tcPr>
            <w:tcW w:w="720" w:type="dxa"/>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b/>
                <w:sz w:val="22"/>
                <w:szCs w:val="22"/>
                <w:lang w:eastAsia="pt-BR"/>
              </w:rPr>
            </w:pPr>
            <w:r w:rsidRPr="00D142DC">
              <w:rPr>
                <w:b/>
                <w:sz w:val="22"/>
                <w:szCs w:val="22"/>
                <w:lang w:eastAsia="pt-BR"/>
              </w:rPr>
              <w:t>V</w:t>
            </w:r>
          </w:p>
        </w:tc>
        <w:tc>
          <w:tcPr>
            <w:tcW w:w="800" w:type="dxa"/>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b/>
                <w:sz w:val="22"/>
                <w:szCs w:val="22"/>
                <w:lang w:eastAsia="pt-BR"/>
              </w:rPr>
            </w:pPr>
            <w:r w:rsidRPr="00D142DC">
              <w:rPr>
                <w:b/>
                <w:sz w:val="22"/>
                <w:szCs w:val="22"/>
                <w:lang w:eastAsia="pt-BR"/>
              </w:rPr>
              <w:t>MO</w:t>
            </w:r>
          </w:p>
        </w:tc>
      </w:tr>
      <w:tr w:rsidR="006916DC" w:rsidRPr="00D142DC" w:rsidTr="00D142DC">
        <w:trPr>
          <w:trHeight w:val="348"/>
          <w:jc w:val="center"/>
        </w:trPr>
        <w:tc>
          <w:tcPr>
            <w:tcW w:w="1053" w:type="dxa"/>
            <w:vMerge/>
            <w:tcBorders>
              <w:top w:val="single" w:sz="4" w:space="0" w:color="auto"/>
              <w:left w:val="nil"/>
              <w:bottom w:val="single" w:sz="4" w:space="0" w:color="auto"/>
              <w:right w:val="nil"/>
            </w:tcBorders>
            <w:vAlign w:val="center"/>
          </w:tcPr>
          <w:p w:rsidR="006916DC" w:rsidRPr="00D142DC" w:rsidRDefault="006916DC" w:rsidP="00CA6939">
            <w:pPr>
              <w:spacing w:before="80" w:after="40"/>
              <w:jc w:val="left"/>
              <w:rPr>
                <w:b/>
                <w:sz w:val="22"/>
                <w:szCs w:val="22"/>
                <w:lang w:eastAsia="pt-BR"/>
              </w:rPr>
            </w:pPr>
          </w:p>
        </w:tc>
        <w:tc>
          <w:tcPr>
            <w:tcW w:w="851" w:type="dxa"/>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b/>
                <w:sz w:val="22"/>
                <w:szCs w:val="22"/>
                <w:lang w:eastAsia="pt-BR"/>
              </w:rPr>
            </w:pPr>
            <w:r w:rsidRPr="00D142DC">
              <w:rPr>
                <w:b/>
                <w:sz w:val="22"/>
                <w:szCs w:val="22"/>
                <w:lang w:eastAsia="pt-BR"/>
              </w:rPr>
              <w:t>dS m</w:t>
            </w:r>
            <w:r w:rsidRPr="00D142DC">
              <w:rPr>
                <w:b/>
                <w:sz w:val="22"/>
                <w:szCs w:val="22"/>
                <w:vertAlign w:val="superscript"/>
                <w:lang w:eastAsia="pt-BR"/>
              </w:rPr>
              <w:t>-1</w:t>
            </w:r>
          </w:p>
        </w:tc>
        <w:tc>
          <w:tcPr>
            <w:tcW w:w="1440" w:type="dxa"/>
            <w:gridSpan w:val="2"/>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b/>
                <w:sz w:val="22"/>
                <w:szCs w:val="22"/>
                <w:lang w:eastAsia="pt-BR"/>
              </w:rPr>
            </w:pPr>
            <w:r w:rsidRPr="00D142DC">
              <w:rPr>
                <w:b/>
                <w:sz w:val="22"/>
                <w:szCs w:val="22"/>
                <w:lang w:eastAsia="pt-BR"/>
              </w:rPr>
              <w:t>-- mg dm</w:t>
            </w:r>
            <w:r w:rsidRPr="00D142DC">
              <w:rPr>
                <w:b/>
                <w:sz w:val="22"/>
                <w:szCs w:val="22"/>
                <w:vertAlign w:val="superscript"/>
                <w:lang w:eastAsia="pt-BR"/>
              </w:rPr>
              <w:t xml:space="preserve">-3 </w:t>
            </w:r>
            <w:r w:rsidRPr="00D142DC">
              <w:rPr>
                <w:b/>
                <w:sz w:val="22"/>
                <w:szCs w:val="22"/>
                <w:lang w:eastAsia="pt-BR"/>
              </w:rPr>
              <w:t>--</w:t>
            </w:r>
          </w:p>
        </w:tc>
        <w:tc>
          <w:tcPr>
            <w:tcW w:w="4803" w:type="dxa"/>
            <w:gridSpan w:val="8"/>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b/>
                <w:sz w:val="22"/>
                <w:szCs w:val="22"/>
                <w:lang w:eastAsia="pt-BR"/>
              </w:rPr>
            </w:pPr>
            <w:r w:rsidRPr="00D142DC">
              <w:rPr>
                <w:b/>
                <w:sz w:val="22"/>
                <w:szCs w:val="22"/>
                <w:lang w:eastAsia="pt-BR"/>
              </w:rPr>
              <w:t>------------------------ cmol</w:t>
            </w:r>
            <w:r w:rsidRPr="00D142DC">
              <w:rPr>
                <w:b/>
                <w:sz w:val="22"/>
                <w:szCs w:val="22"/>
                <w:vertAlign w:val="subscript"/>
                <w:lang w:eastAsia="pt-BR"/>
              </w:rPr>
              <w:t>c</w:t>
            </w:r>
            <w:r w:rsidRPr="00D142DC">
              <w:rPr>
                <w:b/>
                <w:sz w:val="22"/>
                <w:szCs w:val="22"/>
                <w:lang w:eastAsia="pt-BR"/>
              </w:rPr>
              <w:t xml:space="preserve"> dm</w:t>
            </w:r>
            <w:r w:rsidRPr="00D142DC">
              <w:rPr>
                <w:b/>
                <w:sz w:val="22"/>
                <w:szCs w:val="22"/>
                <w:vertAlign w:val="superscript"/>
                <w:lang w:eastAsia="pt-BR"/>
              </w:rPr>
              <w:t>-3</w:t>
            </w:r>
            <w:r w:rsidR="00D142DC">
              <w:rPr>
                <w:b/>
                <w:sz w:val="22"/>
                <w:szCs w:val="22"/>
                <w:lang w:eastAsia="pt-BR"/>
              </w:rPr>
              <w:t xml:space="preserve"> ---------------------</w:t>
            </w:r>
            <w:r w:rsidRPr="00D142DC">
              <w:rPr>
                <w:b/>
                <w:sz w:val="22"/>
                <w:szCs w:val="22"/>
                <w:lang w:eastAsia="pt-BR"/>
              </w:rPr>
              <w:t>--</w:t>
            </w:r>
          </w:p>
        </w:tc>
        <w:tc>
          <w:tcPr>
            <w:tcW w:w="720" w:type="dxa"/>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b/>
                <w:sz w:val="22"/>
                <w:szCs w:val="22"/>
                <w:lang w:eastAsia="pt-BR"/>
              </w:rPr>
            </w:pPr>
            <w:r w:rsidRPr="00D142DC">
              <w:rPr>
                <w:b/>
                <w:sz w:val="22"/>
                <w:szCs w:val="22"/>
                <w:lang w:eastAsia="pt-BR"/>
              </w:rPr>
              <w:t xml:space="preserve"> -% -</w:t>
            </w:r>
          </w:p>
        </w:tc>
        <w:tc>
          <w:tcPr>
            <w:tcW w:w="800" w:type="dxa"/>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b/>
                <w:sz w:val="22"/>
                <w:szCs w:val="22"/>
                <w:vertAlign w:val="superscript"/>
                <w:lang w:eastAsia="pt-BR"/>
              </w:rPr>
            </w:pPr>
            <w:r w:rsidRPr="00D142DC">
              <w:rPr>
                <w:b/>
                <w:sz w:val="22"/>
                <w:szCs w:val="22"/>
                <w:lang w:eastAsia="pt-BR"/>
              </w:rPr>
              <w:t>g kg</w:t>
            </w:r>
            <w:r w:rsidRPr="00D142DC">
              <w:rPr>
                <w:b/>
                <w:sz w:val="22"/>
                <w:szCs w:val="22"/>
                <w:vertAlign w:val="superscript"/>
                <w:lang w:eastAsia="pt-BR"/>
              </w:rPr>
              <w:t>-1</w:t>
            </w:r>
          </w:p>
        </w:tc>
      </w:tr>
      <w:tr w:rsidR="006916DC" w:rsidRPr="00D142DC" w:rsidTr="00D142DC">
        <w:trPr>
          <w:trHeight w:val="467"/>
          <w:jc w:val="center"/>
        </w:trPr>
        <w:tc>
          <w:tcPr>
            <w:tcW w:w="1053" w:type="dxa"/>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sz w:val="22"/>
                <w:szCs w:val="22"/>
                <w:lang w:eastAsia="pt-BR"/>
              </w:rPr>
            </w:pPr>
            <w:r w:rsidRPr="00D142DC">
              <w:rPr>
                <w:sz w:val="22"/>
                <w:szCs w:val="22"/>
                <w:lang w:eastAsia="pt-BR"/>
              </w:rPr>
              <w:t>5,1</w:t>
            </w:r>
          </w:p>
        </w:tc>
        <w:tc>
          <w:tcPr>
            <w:tcW w:w="851" w:type="dxa"/>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sz w:val="22"/>
                <w:szCs w:val="22"/>
                <w:lang w:eastAsia="pt-BR"/>
              </w:rPr>
            </w:pPr>
            <w:r w:rsidRPr="00D142DC">
              <w:rPr>
                <w:sz w:val="22"/>
                <w:szCs w:val="22"/>
                <w:lang w:eastAsia="pt-BR"/>
              </w:rPr>
              <w:t>0,801</w:t>
            </w:r>
          </w:p>
        </w:tc>
        <w:tc>
          <w:tcPr>
            <w:tcW w:w="708" w:type="dxa"/>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sz w:val="22"/>
                <w:szCs w:val="22"/>
                <w:lang w:eastAsia="pt-BR"/>
              </w:rPr>
            </w:pPr>
            <w:r w:rsidRPr="00D142DC">
              <w:rPr>
                <w:sz w:val="22"/>
                <w:szCs w:val="22"/>
                <w:lang w:eastAsia="pt-BR"/>
              </w:rPr>
              <w:t>13</w:t>
            </w:r>
          </w:p>
        </w:tc>
        <w:tc>
          <w:tcPr>
            <w:tcW w:w="732" w:type="dxa"/>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sz w:val="22"/>
                <w:szCs w:val="22"/>
                <w:lang w:eastAsia="pt-BR"/>
              </w:rPr>
            </w:pPr>
            <w:r w:rsidRPr="00D142DC">
              <w:rPr>
                <w:sz w:val="22"/>
                <w:szCs w:val="22"/>
                <w:lang w:eastAsia="pt-BR"/>
              </w:rPr>
              <w:t>48</w:t>
            </w:r>
          </w:p>
        </w:tc>
        <w:tc>
          <w:tcPr>
            <w:tcW w:w="600" w:type="dxa"/>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sz w:val="22"/>
                <w:szCs w:val="22"/>
                <w:lang w:eastAsia="pt-BR"/>
              </w:rPr>
            </w:pPr>
            <w:r w:rsidRPr="00D142DC">
              <w:rPr>
                <w:sz w:val="22"/>
                <w:szCs w:val="22"/>
                <w:lang w:eastAsia="pt-BR"/>
              </w:rPr>
              <w:t>1,0</w:t>
            </w:r>
          </w:p>
        </w:tc>
        <w:tc>
          <w:tcPr>
            <w:tcW w:w="600" w:type="dxa"/>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sz w:val="22"/>
                <w:szCs w:val="22"/>
                <w:lang w:eastAsia="pt-BR"/>
              </w:rPr>
            </w:pPr>
            <w:r w:rsidRPr="00D142DC">
              <w:rPr>
                <w:sz w:val="22"/>
                <w:szCs w:val="22"/>
                <w:lang w:eastAsia="pt-BR"/>
              </w:rPr>
              <w:t>0,5</w:t>
            </w:r>
          </w:p>
        </w:tc>
        <w:tc>
          <w:tcPr>
            <w:tcW w:w="600" w:type="dxa"/>
            <w:gridSpan w:val="2"/>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sz w:val="22"/>
                <w:szCs w:val="22"/>
                <w:lang w:eastAsia="pt-BR"/>
              </w:rPr>
            </w:pPr>
            <w:r w:rsidRPr="00D142DC">
              <w:rPr>
                <w:sz w:val="22"/>
                <w:szCs w:val="22"/>
                <w:lang w:eastAsia="pt-BR"/>
              </w:rPr>
              <w:t>0,04</w:t>
            </w:r>
          </w:p>
        </w:tc>
        <w:tc>
          <w:tcPr>
            <w:tcW w:w="720" w:type="dxa"/>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sz w:val="22"/>
                <w:szCs w:val="22"/>
                <w:lang w:eastAsia="pt-BR"/>
              </w:rPr>
            </w:pPr>
            <w:r w:rsidRPr="00D142DC">
              <w:rPr>
                <w:sz w:val="22"/>
                <w:szCs w:val="22"/>
                <w:lang w:eastAsia="pt-BR"/>
              </w:rPr>
              <w:t>1,66</w:t>
            </w:r>
          </w:p>
        </w:tc>
        <w:tc>
          <w:tcPr>
            <w:tcW w:w="600" w:type="dxa"/>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sz w:val="22"/>
                <w:szCs w:val="22"/>
                <w:lang w:eastAsia="pt-BR"/>
              </w:rPr>
            </w:pPr>
            <w:r w:rsidRPr="00D142DC">
              <w:rPr>
                <w:sz w:val="22"/>
                <w:szCs w:val="22"/>
                <w:lang w:eastAsia="pt-BR"/>
              </w:rPr>
              <w:t>0,2</w:t>
            </w:r>
          </w:p>
        </w:tc>
        <w:tc>
          <w:tcPr>
            <w:tcW w:w="843" w:type="dxa"/>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sz w:val="22"/>
                <w:szCs w:val="22"/>
                <w:lang w:eastAsia="pt-BR"/>
              </w:rPr>
            </w:pPr>
            <w:r w:rsidRPr="00D142DC">
              <w:rPr>
                <w:sz w:val="22"/>
                <w:szCs w:val="22"/>
                <w:lang w:eastAsia="pt-BR"/>
              </w:rPr>
              <w:t>3,00</w:t>
            </w:r>
          </w:p>
        </w:tc>
        <w:tc>
          <w:tcPr>
            <w:tcW w:w="840" w:type="dxa"/>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sz w:val="22"/>
                <w:szCs w:val="22"/>
                <w:lang w:eastAsia="pt-BR"/>
              </w:rPr>
            </w:pPr>
            <w:r w:rsidRPr="00D142DC">
              <w:rPr>
                <w:sz w:val="22"/>
                <w:szCs w:val="22"/>
                <w:lang w:eastAsia="pt-BR"/>
              </w:rPr>
              <w:t>4,66</w:t>
            </w:r>
          </w:p>
        </w:tc>
        <w:tc>
          <w:tcPr>
            <w:tcW w:w="720" w:type="dxa"/>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sz w:val="22"/>
                <w:szCs w:val="22"/>
                <w:lang w:eastAsia="pt-BR"/>
              </w:rPr>
            </w:pPr>
            <w:r w:rsidRPr="00D142DC">
              <w:rPr>
                <w:sz w:val="22"/>
                <w:szCs w:val="22"/>
                <w:lang w:eastAsia="pt-BR"/>
              </w:rPr>
              <w:t>36</w:t>
            </w:r>
          </w:p>
        </w:tc>
        <w:tc>
          <w:tcPr>
            <w:tcW w:w="800" w:type="dxa"/>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sz w:val="22"/>
                <w:szCs w:val="22"/>
                <w:lang w:eastAsia="pt-BR"/>
              </w:rPr>
            </w:pPr>
            <w:r w:rsidRPr="00D142DC">
              <w:rPr>
                <w:sz w:val="22"/>
                <w:szCs w:val="22"/>
                <w:lang w:eastAsia="pt-BR"/>
              </w:rPr>
              <w:t>11,7</w:t>
            </w:r>
          </w:p>
        </w:tc>
      </w:tr>
      <w:tr w:rsidR="006916DC" w:rsidRPr="00D142DC" w:rsidTr="00D142DC">
        <w:trPr>
          <w:trHeight w:val="467"/>
          <w:jc w:val="center"/>
        </w:trPr>
        <w:tc>
          <w:tcPr>
            <w:tcW w:w="2612" w:type="dxa"/>
            <w:gridSpan w:val="3"/>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b/>
                <w:sz w:val="22"/>
                <w:szCs w:val="22"/>
                <w:lang w:eastAsia="pt-BR"/>
              </w:rPr>
            </w:pPr>
            <w:r w:rsidRPr="00D142DC">
              <w:rPr>
                <w:b/>
                <w:sz w:val="22"/>
                <w:szCs w:val="22"/>
                <w:lang w:eastAsia="pt-BR"/>
              </w:rPr>
              <w:t>Areia (</w:t>
            </w:r>
            <w:r w:rsidRPr="00D142DC">
              <w:rPr>
                <w:b/>
                <w:sz w:val="22"/>
                <w:szCs w:val="22"/>
              </w:rPr>
              <w:t>g kg</w:t>
            </w:r>
            <w:r w:rsidRPr="00D142DC">
              <w:rPr>
                <w:b/>
                <w:sz w:val="22"/>
                <w:szCs w:val="22"/>
                <w:vertAlign w:val="superscript"/>
              </w:rPr>
              <w:t>-1</w:t>
            </w:r>
            <w:r w:rsidRPr="00D142DC">
              <w:rPr>
                <w:b/>
                <w:sz w:val="22"/>
                <w:szCs w:val="22"/>
                <w:lang w:eastAsia="pt-BR"/>
              </w:rPr>
              <w:t>)</w:t>
            </w:r>
          </w:p>
        </w:tc>
        <w:tc>
          <w:tcPr>
            <w:tcW w:w="2209" w:type="dxa"/>
            <w:gridSpan w:val="4"/>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b/>
                <w:sz w:val="22"/>
                <w:szCs w:val="22"/>
                <w:lang w:eastAsia="pt-BR"/>
              </w:rPr>
            </w:pPr>
            <w:r w:rsidRPr="00D142DC">
              <w:rPr>
                <w:b/>
                <w:sz w:val="22"/>
                <w:szCs w:val="22"/>
                <w:lang w:eastAsia="pt-BR"/>
              </w:rPr>
              <w:t>Silte (</w:t>
            </w:r>
            <w:r w:rsidRPr="00D142DC">
              <w:rPr>
                <w:b/>
                <w:sz w:val="22"/>
                <w:szCs w:val="22"/>
              </w:rPr>
              <w:t>g kg</w:t>
            </w:r>
            <w:r w:rsidRPr="00D142DC">
              <w:rPr>
                <w:b/>
                <w:sz w:val="22"/>
                <w:szCs w:val="22"/>
                <w:vertAlign w:val="superscript"/>
              </w:rPr>
              <w:t>-1</w:t>
            </w:r>
            <w:r w:rsidRPr="00D142DC">
              <w:rPr>
                <w:b/>
                <w:sz w:val="22"/>
                <w:szCs w:val="22"/>
                <w:lang w:eastAsia="pt-BR"/>
              </w:rPr>
              <w:t>)</w:t>
            </w:r>
          </w:p>
        </w:tc>
        <w:tc>
          <w:tcPr>
            <w:tcW w:w="2486" w:type="dxa"/>
            <w:gridSpan w:val="4"/>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b/>
                <w:sz w:val="22"/>
                <w:szCs w:val="22"/>
                <w:lang w:eastAsia="pt-BR"/>
              </w:rPr>
            </w:pPr>
            <w:r w:rsidRPr="00D142DC">
              <w:rPr>
                <w:b/>
                <w:sz w:val="22"/>
                <w:szCs w:val="22"/>
                <w:lang w:eastAsia="pt-BR"/>
              </w:rPr>
              <w:t>Argila (</w:t>
            </w:r>
            <w:r w:rsidRPr="00D142DC">
              <w:rPr>
                <w:b/>
                <w:sz w:val="22"/>
                <w:szCs w:val="22"/>
              </w:rPr>
              <w:t>g kg</w:t>
            </w:r>
            <w:r w:rsidRPr="00D142DC">
              <w:rPr>
                <w:b/>
                <w:sz w:val="22"/>
                <w:szCs w:val="22"/>
                <w:vertAlign w:val="superscript"/>
              </w:rPr>
              <w:t>-1</w:t>
            </w:r>
            <w:r w:rsidRPr="00D142DC">
              <w:rPr>
                <w:b/>
                <w:sz w:val="22"/>
                <w:szCs w:val="22"/>
                <w:lang w:eastAsia="pt-BR"/>
              </w:rPr>
              <w:t>)</w:t>
            </w:r>
          </w:p>
        </w:tc>
        <w:tc>
          <w:tcPr>
            <w:tcW w:w="2360" w:type="dxa"/>
            <w:gridSpan w:val="3"/>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b/>
                <w:sz w:val="22"/>
                <w:szCs w:val="22"/>
                <w:lang w:eastAsia="pt-BR"/>
              </w:rPr>
            </w:pPr>
            <w:r w:rsidRPr="00D142DC">
              <w:rPr>
                <w:b/>
                <w:sz w:val="22"/>
                <w:szCs w:val="22"/>
                <w:lang w:eastAsia="pt-BR"/>
              </w:rPr>
              <w:t>Classificação textural</w:t>
            </w:r>
          </w:p>
        </w:tc>
      </w:tr>
      <w:tr w:rsidR="006916DC" w:rsidRPr="00D142DC" w:rsidTr="00D142DC">
        <w:trPr>
          <w:trHeight w:val="467"/>
          <w:jc w:val="center"/>
        </w:trPr>
        <w:tc>
          <w:tcPr>
            <w:tcW w:w="2612" w:type="dxa"/>
            <w:gridSpan w:val="3"/>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sz w:val="22"/>
                <w:szCs w:val="22"/>
                <w:lang w:eastAsia="pt-BR"/>
              </w:rPr>
            </w:pPr>
            <w:r w:rsidRPr="00D142DC">
              <w:rPr>
                <w:sz w:val="22"/>
                <w:szCs w:val="22"/>
              </w:rPr>
              <w:t>785</w:t>
            </w:r>
          </w:p>
        </w:tc>
        <w:tc>
          <w:tcPr>
            <w:tcW w:w="2209" w:type="dxa"/>
            <w:gridSpan w:val="4"/>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sz w:val="22"/>
                <w:szCs w:val="22"/>
                <w:lang w:eastAsia="pt-BR"/>
              </w:rPr>
            </w:pPr>
            <w:r w:rsidRPr="00D142DC">
              <w:rPr>
                <w:sz w:val="22"/>
                <w:szCs w:val="22"/>
              </w:rPr>
              <w:t>14</w:t>
            </w:r>
          </w:p>
        </w:tc>
        <w:tc>
          <w:tcPr>
            <w:tcW w:w="2486" w:type="dxa"/>
            <w:gridSpan w:val="4"/>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sz w:val="22"/>
                <w:szCs w:val="22"/>
                <w:lang w:eastAsia="pt-BR"/>
              </w:rPr>
            </w:pPr>
            <w:r w:rsidRPr="00D142DC">
              <w:rPr>
                <w:sz w:val="22"/>
                <w:szCs w:val="22"/>
              </w:rPr>
              <w:t>201</w:t>
            </w:r>
          </w:p>
        </w:tc>
        <w:tc>
          <w:tcPr>
            <w:tcW w:w="2360" w:type="dxa"/>
            <w:gridSpan w:val="3"/>
            <w:tcBorders>
              <w:top w:val="single" w:sz="4" w:space="0" w:color="auto"/>
              <w:left w:val="nil"/>
              <w:bottom w:val="single" w:sz="4" w:space="0" w:color="auto"/>
              <w:right w:val="nil"/>
            </w:tcBorders>
            <w:vAlign w:val="center"/>
          </w:tcPr>
          <w:p w:rsidR="006916DC" w:rsidRPr="00D142DC" w:rsidRDefault="006916DC" w:rsidP="00CA6939">
            <w:pPr>
              <w:spacing w:before="80" w:after="40"/>
              <w:jc w:val="center"/>
              <w:rPr>
                <w:sz w:val="22"/>
                <w:szCs w:val="22"/>
                <w:lang w:eastAsia="pt-BR"/>
              </w:rPr>
            </w:pPr>
            <w:r w:rsidRPr="00D142DC">
              <w:rPr>
                <w:sz w:val="22"/>
                <w:szCs w:val="22"/>
              </w:rPr>
              <w:t>Franco-argiloarenosa</w:t>
            </w:r>
          </w:p>
        </w:tc>
      </w:tr>
    </w:tbl>
    <w:p w:rsidR="006916DC" w:rsidRPr="00CA6939" w:rsidRDefault="006916DC" w:rsidP="00CA6939">
      <w:pPr>
        <w:spacing w:before="40"/>
      </w:pPr>
      <w:bookmarkStart w:id="5" w:name="_Toc8751909"/>
      <w:r w:rsidRPr="00CA6939">
        <w:rPr>
          <w:b/>
          <w:vertAlign w:val="superscript"/>
        </w:rPr>
        <w:t>(1)</w:t>
      </w:r>
      <w:r w:rsidRPr="00CA6939">
        <w:t>pH – potencial hidrogeniônico; CE – condutividade elétrica do extrato de saturação; P – fósforo (Mehlich-1); K – potássio (Mehlich-1); Ca – cálcio; Mg – magnésio; Na – sódio, todos extraídos por KCl 1 mol L</w:t>
      </w:r>
      <w:r w:rsidRPr="00CA6939">
        <w:rPr>
          <w:vertAlign w:val="superscript"/>
        </w:rPr>
        <w:t>-1</w:t>
      </w:r>
      <w:r w:rsidRPr="00CA6939">
        <w:t>; SB – soma de bases; Al – alumínio extraído por KCl 1 mol L</w:t>
      </w:r>
      <w:r w:rsidRPr="00CA6939">
        <w:rPr>
          <w:vertAlign w:val="superscript"/>
        </w:rPr>
        <w:t>-1</w:t>
      </w:r>
      <w:r w:rsidRPr="00CA6939">
        <w:t xml:space="preserve">; H+Al – acidez potencial, extraído por acetato de cálcio tamponado a pH 7; CTC – capacidade de troca catiônica; V – saturação por bases; e MO – matéria orgânica pelo método Walkley e Black.      </w:t>
      </w:r>
    </w:p>
    <w:bookmarkEnd w:id="5"/>
    <w:p w:rsidR="006916DC" w:rsidRPr="00CA6939" w:rsidRDefault="006916DC" w:rsidP="00CA6939"/>
    <w:p w:rsidR="006916DC" w:rsidRPr="00CA6939" w:rsidRDefault="006916DC" w:rsidP="00CA6939">
      <w:pPr>
        <w:ind w:firstLine="720"/>
      </w:pPr>
      <w:r w:rsidRPr="00CA6939">
        <w:t xml:space="preserve">O delineamento experimental foi o inteiramente casualizado, com os tratamentos distribuídos em esquema fatorial (2 x 5) com 5 repetições, totalizando 50 unidades experimentais. Os fatores estudados foram: presença e ausência de esterco bovino (2) e doses de manipueira (5). Para a determinação da quantidade de esterco baseou-se nas recomendações de Oliveira et al. (2002) para o coentro, aplicando-se o equivalente a </w:t>
      </w:r>
      <w:smartTag w:uri="urn:schemas-microsoft-com:office:smarttags" w:element="metricconverter">
        <w:smartTagPr>
          <w:attr w:name="ProductID" w:val="3,9 kg"/>
        </w:smartTagPr>
        <w:r w:rsidRPr="00CA6939">
          <w:t>3,9 kg</w:t>
        </w:r>
      </w:smartTag>
      <w:r w:rsidRPr="00CA6939">
        <w:t xml:space="preserve"> m</w:t>
      </w:r>
      <w:r w:rsidRPr="00CA6939">
        <w:rPr>
          <w:vertAlign w:val="superscript"/>
        </w:rPr>
        <w:t>-</w:t>
      </w:r>
      <w:r w:rsidRPr="00CA6939">
        <w:t xml:space="preserve">². As doses de manipueira estudadas foram: 0, 15, 30, 45 e </w:t>
      </w:r>
      <w:smartTag w:uri="urn:schemas-microsoft-com:office:smarttags" w:element="metricconverter">
        <w:smartTagPr>
          <w:attr w:name="ProductID" w:val="60 mﾳ"/>
        </w:smartTagPr>
        <w:r w:rsidRPr="00CA6939">
          <w:t>60 m³</w:t>
        </w:r>
      </w:smartTag>
      <w:r w:rsidRPr="00CA6939">
        <w:t xml:space="preserve"> ha</w:t>
      </w:r>
      <w:r w:rsidRPr="00CA6939">
        <w:rPr>
          <w:vertAlign w:val="superscript"/>
        </w:rPr>
        <w:t>-1</w:t>
      </w:r>
      <w:r w:rsidRPr="00CA6939">
        <w:t xml:space="preserve"> (DUARTE et al., 2012). Dessa forma, os tratamentos aplicados foram: T1 – </w:t>
      </w:r>
      <w:smartTag w:uri="urn:schemas-microsoft-com:office:smarttags" w:element="metricconverter">
        <w:smartTagPr>
          <w:attr w:name="ProductID" w:val="0 kg"/>
        </w:smartTagPr>
        <w:r w:rsidRPr="00CA6939">
          <w:t>0 kg</w:t>
        </w:r>
      </w:smartTag>
      <w:r w:rsidRPr="00CA6939">
        <w:t xml:space="preserve"> m</w:t>
      </w:r>
      <w:r w:rsidRPr="00CA6939">
        <w:rPr>
          <w:vertAlign w:val="superscript"/>
        </w:rPr>
        <w:t>-2</w:t>
      </w:r>
      <w:r w:rsidRPr="00CA6939">
        <w:t xml:space="preserve"> de esterco bovino e </w:t>
      </w:r>
      <w:smartTag w:uri="urn:schemas-microsoft-com:office:smarttags" w:element="metricconverter">
        <w:smartTagPr>
          <w:attr w:name="ProductID" w:val="0 mﾳ"/>
        </w:smartTagPr>
        <w:r w:rsidRPr="00CA6939">
          <w:t>0 m³</w:t>
        </w:r>
      </w:smartTag>
      <w:r w:rsidRPr="00CA6939">
        <w:t xml:space="preserve"> ha</w:t>
      </w:r>
      <w:r w:rsidRPr="00CA6939">
        <w:rPr>
          <w:vertAlign w:val="superscript"/>
        </w:rPr>
        <w:t>-1</w:t>
      </w:r>
      <w:r w:rsidRPr="00CA6939">
        <w:t xml:space="preserve"> de manipueira; T2 – </w:t>
      </w:r>
      <w:smartTag w:uri="urn:schemas-microsoft-com:office:smarttags" w:element="metricconverter">
        <w:smartTagPr>
          <w:attr w:name="ProductID" w:val="0 kg"/>
        </w:smartTagPr>
        <w:r w:rsidRPr="00CA6939">
          <w:t>0 kg</w:t>
        </w:r>
      </w:smartTag>
      <w:r w:rsidRPr="00CA6939">
        <w:t xml:space="preserve"> m</w:t>
      </w:r>
      <w:r w:rsidRPr="00CA6939">
        <w:rPr>
          <w:vertAlign w:val="superscript"/>
        </w:rPr>
        <w:t>-2</w:t>
      </w:r>
      <w:r w:rsidRPr="00CA6939">
        <w:t xml:space="preserve"> de esterco bovino e </w:t>
      </w:r>
      <w:smartTag w:uri="urn:schemas-microsoft-com:office:smarttags" w:element="metricconverter">
        <w:smartTagPr>
          <w:attr w:name="ProductID" w:val="15 mﾳ"/>
        </w:smartTagPr>
        <w:r w:rsidRPr="00CA6939">
          <w:t>15 m³</w:t>
        </w:r>
      </w:smartTag>
      <w:r w:rsidRPr="00CA6939">
        <w:t xml:space="preserve"> ha</w:t>
      </w:r>
      <w:r w:rsidRPr="00CA6939">
        <w:rPr>
          <w:vertAlign w:val="superscript"/>
        </w:rPr>
        <w:t>-1</w:t>
      </w:r>
      <w:r w:rsidRPr="00CA6939">
        <w:t xml:space="preserve"> de manipueira; T3 – </w:t>
      </w:r>
      <w:smartTag w:uri="urn:schemas-microsoft-com:office:smarttags" w:element="metricconverter">
        <w:smartTagPr>
          <w:attr w:name="ProductID" w:val="0 kg"/>
        </w:smartTagPr>
        <w:r w:rsidRPr="00CA6939">
          <w:t>0 kg</w:t>
        </w:r>
      </w:smartTag>
      <w:r w:rsidRPr="00CA6939">
        <w:t xml:space="preserve"> m</w:t>
      </w:r>
      <w:r w:rsidRPr="00CA6939">
        <w:rPr>
          <w:vertAlign w:val="superscript"/>
        </w:rPr>
        <w:t>-2</w:t>
      </w:r>
      <w:r w:rsidRPr="00CA6939">
        <w:t xml:space="preserve"> de esterco bovino e </w:t>
      </w:r>
      <w:smartTag w:uri="urn:schemas-microsoft-com:office:smarttags" w:element="metricconverter">
        <w:smartTagPr>
          <w:attr w:name="ProductID" w:val="30 mﾳ"/>
        </w:smartTagPr>
        <w:r w:rsidRPr="00CA6939">
          <w:t>30 m³</w:t>
        </w:r>
      </w:smartTag>
      <w:r w:rsidRPr="00CA6939">
        <w:t xml:space="preserve"> ha</w:t>
      </w:r>
      <w:r w:rsidRPr="00CA6939">
        <w:rPr>
          <w:vertAlign w:val="superscript"/>
        </w:rPr>
        <w:t>-1</w:t>
      </w:r>
      <w:r w:rsidRPr="00CA6939">
        <w:t xml:space="preserve"> de manipueira; T4 – </w:t>
      </w:r>
      <w:smartTag w:uri="urn:schemas-microsoft-com:office:smarttags" w:element="metricconverter">
        <w:smartTagPr>
          <w:attr w:name="ProductID" w:val="0 kg"/>
        </w:smartTagPr>
        <w:r w:rsidRPr="00CA6939">
          <w:t>0 kg</w:t>
        </w:r>
      </w:smartTag>
      <w:r w:rsidRPr="00CA6939">
        <w:t xml:space="preserve"> m</w:t>
      </w:r>
      <w:r w:rsidRPr="00CA6939">
        <w:rPr>
          <w:vertAlign w:val="superscript"/>
        </w:rPr>
        <w:t>-2</w:t>
      </w:r>
      <w:r w:rsidRPr="00CA6939">
        <w:t xml:space="preserve"> de esterco bovino e </w:t>
      </w:r>
      <w:smartTag w:uri="urn:schemas-microsoft-com:office:smarttags" w:element="metricconverter">
        <w:smartTagPr>
          <w:attr w:name="ProductID" w:val="45 mﾳ"/>
        </w:smartTagPr>
        <w:r w:rsidRPr="00CA6939">
          <w:t>45 m³</w:t>
        </w:r>
      </w:smartTag>
      <w:r w:rsidRPr="00CA6939">
        <w:t xml:space="preserve"> ha</w:t>
      </w:r>
      <w:r w:rsidRPr="00CA6939">
        <w:rPr>
          <w:vertAlign w:val="superscript"/>
        </w:rPr>
        <w:t>-1</w:t>
      </w:r>
      <w:r w:rsidRPr="00CA6939">
        <w:t xml:space="preserve"> de manipueira; T5 – </w:t>
      </w:r>
      <w:smartTag w:uri="urn:schemas-microsoft-com:office:smarttags" w:element="metricconverter">
        <w:smartTagPr>
          <w:attr w:name="ProductID" w:val="0 kg"/>
        </w:smartTagPr>
        <w:r w:rsidRPr="00CA6939">
          <w:t>0 kg</w:t>
        </w:r>
      </w:smartTag>
      <w:r w:rsidRPr="00CA6939">
        <w:t xml:space="preserve"> m</w:t>
      </w:r>
      <w:r w:rsidRPr="00CA6939">
        <w:rPr>
          <w:vertAlign w:val="superscript"/>
        </w:rPr>
        <w:t>-2</w:t>
      </w:r>
      <w:r w:rsidRPr="00CA6939">
        <w:t xml:space="preserve"> de esterco bovino e </w:t>
      </w:r>
      <w:smartTag w:uri="urn:schemas-microsoft-com:office:smarttags" w:element="metricconverter">
        <w:smartTagPr>
          <w:attr w:name="ProductID" w:val="60 mﾳ"/>
        </w:smartTagPr>
        <w:r w:rsidRPr="00CA6939">
          <w:t>60 m³</w:t>
        </w:r>
      </w:smartTag>
      <w:r w:rsidRPr="00CA6939">
        <w:t xml:space="preserve"> ha</w:t>
      </w:r>
      <w:r w:rsidRPr="00CA6939">
        <w:rPr>
          <w:vertAlign w:val="superscript"/>
        </w:rPr>
        <w:t>-1</w:t>
      </w:r>
      <w:r w:rsidRPr="00CA6939">
        <w:t xml:space="preserve"> de manipueira; T6 – </w:t>
      </w:r>
      <w:smartTag w:uri="urn:schemas-microsoft-com:office:smarttags" w:element="metricconverter">
        <w:smartTagPr>
          <w:attr w:name="ProductID" w:val="3,9 kg"/>
        </w:smartTagPr>
        <w:r w:rsidRPr="00CA6939">
          <w:t>3,9 kg</w:t>
        </w:r>
      </w:smartTag>
      <w:r w:rsidRPr="00CA6939">
        <w:t xml:space="preserve"> m</w:t>
      </w:r>
      <w:r w:rsidRPr="00CA6939">
        <w:rPr>
          <w:vertAlign w:val="superscript"/>
        </w:rPr>
        <w:t>-2</w:t>
      </w:r>
      <w:r w:rsidRPr="00CA6939">
        <w:t xml:space="preserve"> de esterco bovino e </w:t>
      </w:r>
      <w:smartTag w:uri="urn:schemas-microsoft-com:office:smarttags" w:element="metricconverter">
        <w:smartTagPr>
          <w:attr w:name="ProductID" w:val="0 mﾳ"/>
        </w:smartTagPr>
        <w:r w:rsidRPr="00CA6939">
          <w:t>0 m³</w:t>
        </w:r>
      </w:smartTag>
      <w:r w:rsidRPr="00CA6939">
        <w:t xml:space="preserve"> ha</w:t>
      </w:r>
      <w:r w:rsidRPr="00CA6939">
        <w:rPr>
          <w:vertAlign w:val="superscript"/>
        </w:rPr>
        <w:t>-1</w:t>
      </w:r>
      <w:r w:rsidRPr="00CA6939">
        <w:t xml:space="preserve"> de manipueira; T7 – </w:t>
      </w:r>
      <w:smartTag w:uri="urn:schemas-microsoft-com:office:smarttags" w:element="metricconverter">
        <w:smartTagPr>
          <w:attr w:name="ProductID" w:val="3,9 kg"/>
        </w:smartTagPr>
        <w:r w:rsidRPr="00CA6939">
          <w:t>3,9 kg</w:t>
        </w:r>
      </w:smartTag>
      <w:r w:rsidRPr="00CA6939">
        <w:t xml:space="preserve"> m</w:t>
      </w:r>
      <w:r w:rsidRPr="00CA6939">
        <w:rPr>
          <w:vertAlign w:val="superscript"/>
        </w:rPr>
        <w:t>-2</w:t>
      </w:r>
      <w:r w:rsidRPr="00CA6939">
        <w:t xml:space="preserve"> de esterco bovino e </w:t>
      </w:r>
      <w:smartTag w:uri="urn:schemas-microsoft-com:office:smarttags" w:element="metricconverter">
        <w:smartTagPr>
          <w:attr w:name="ProductID" w:val="15 mﾳ"/>
        </w:smartTagPr>
        <w:r w:rsidRPr="00CA6939">
          <w:t>15 m³</w:t>
        </w:r>
      </w:smartTag>
      <w:r w:rsidRPr="00CA6939">
        <w:t xml:space="preserve"> ha</w:t>
      </w:r>
      <w:r w:rsidRPr="00CA6939">
        <w:rPr>
          <w:vertAlign w:val="superscript"/>
        </w:rPr>
        <w:t>-1</w:t>
      </w:r>
      <w:r w:rsidRPr="00CA6939">
        <w:t xml:space="preserve"> de manipueira; T8 – </w:t>
      </w:r>
      <w:smartTag w:uri="urn:schemas-microsoft-com:office:smarttags" w:element="metricconverter">
        <w:smartTagPr>
          <w:attr w:name="ProductID" w:val="3,9 kg"/>
        </w:smartTagPr>
        <w:r w:rsidRPr="00CA6939">
          <w:t>3,9 kg</w:t>
        </w:r>
      </w:smartTag>
      <w:r w:rsidRPr="00CA6939">
        <w:t xml:space="preserve"> m</w:t>
      </w:r>
      <w:r w:rsidRPr="00CA6939">
        <w:rPr>
          <w:vertAlign w:val="superscript"/>
        </w:rPr>
        <w:t>-2</w:t>
      </w:r>
      <w:r w:rsidRPr="00CA6939">
        <w:t xml:space="preserve"> de esterco bovino e </w:t>
      </w:r>
      <w:smartTag w:uri="urn:schemas-microsoft-com:office:smarttags" w:element="metricconverter">
        <w:smartTagPr>
          <w:attr w:name="ProductID" w:val="30 mﾳ"/>
        </w:smartTagPr>
        <w:r w:rsidRPr="00CA6939">
          <w:t>30 m³</w:t>
        </w:r>
      </w:smartTag>
      <w:r w:rsidRPr="00CA6939">
        <w:t xml:space="preserve"> ha</w:t>
      </w:r>
      <w:r w:rsidRPr="00CA6939">
        <w:rPr>
          <w:vertAlign w:val="superscript"/>
        </w:rPr>
        <w:t>-1</w:t>
      </w:r>
      <w:r w:rsidRPr="00CA6939">
        <w:t xml:space="preserve"> de manipueira; T9 – </w:t>
      </w:r>
      <w:smartTag w:uri="urn:schemas-microsoft-com:office:smarttags" w:element="metricconverter">
        <w:smartTagPr>
          <w:attr w:name="ProductID" w:val="3,9 kg"/>
        </w:smartTagPr>
        <w:r w:rsidRPr="00CA6939">
          <w:t>3,9 kg</w:t>
        </w:r>
      </w:smartTag>
      <w:r w:rsidRPr="00CA6939">
        <w:t xml:space="preserve"> m</w:t>
      </w:r>
      <w:r w:rsidRPr="00CA6939">
        <w:rPr>
          <w:vertAlign w:val="superscript"/>
        </w:rPr>
        <w:t>-2</w:t>
      </w:r>
      <w:r w:rsidRPr="00CA6939">
        <w:t xml:space="preserve"> de esterco bovino e </w:t>
      </w:r>
      <w:smartTag w:uri="urn:schemas-microsoft-com:office:smarttags" w:element="metricconverter">
        <w:smartTagPr>
          <w:attr w:name="ProductID" w:val="45 mﾳ"/>
        </w:smartTagPr>
        <w:r w:rsidRPr="00CA6939">
          <w:t>45 m³</w:t>
        </w:r>
      </w:smartTag>
      <w:r w:rsidRPr="00CA6939">
        <w:t xml:space="preserve"> ha</w:t>
      </w:r>
      <w:r w:rsidRPr="00CA6939">
        <w:rPr>
          <w:vertAlign w:val="superscript"/>
        </w:rPr>
        <w:t>-1</w:t>
      </w:r>
      <w:r w:rsidRPr="00CA6939">
        <w:t xml:space="preserve"> de manipueira; T10 – </w:t>
      </w:r>
      <w:smartTag w:uri="urn:schemas-microsoft-com:office:smarttags" w:element="metricconverter">
        <w:smartTagPr>
          <w:attr w:name="ProductID" w:val="3,9 kg"/>
        </w:smartTagPr>
        <w:r w:rsidRPr="00CA6939">
          <w:t>3,9 kg</w:t>
        </w:r>
      </w:smartTag>
      <w:r w:rsidRPr="00CA6939">
        <w:t xml:space="preserve"> m</w:t>
      </w:r>
      <w:r w:rsidRPr="00CA6939">
        <w:rPr>
          <w:vertAlign w:val="superscript"/>
        </w:rPr>
        <w:t>-2</w:t>
      </w:r>
      <w:r w:rsidRPr="00CA6939">
        <w:t xml:space="preserve"> de esterco bovino e </w:t>
      </w:r>
      <w:smartTag w:uri="urn:schemas-microsoft-com:office:smarttags" w:element="metricconverter">
        <w:smartTagPr>
          <w:attr w:name="ProductID" w:val="60 mﾳ"/>
        </w:smartTagPr>
        <w:r w:rsidRPr="00CA6939">
          <w:t>60 m³</w:t>
        </w:r>
      </w:smartTag>
      <w:r w:rsidRPr="00CA6939">
        <w:t xml:space="preserve"> ha</w:t>
      </w:r>
      <w:r w:rsidRPr="00CA6939">
        <w:rPr>
          <w:vertAlign w:val="superscript"/>
        </w:rPr>
        <w:t>-1</w:t>
      </w:r>
      <w:r w:rsidRPr="00CA6939">
        <w:t xml:space="preserve"> de manipueira.</w:t>
      </w:r>
    </w:p>
    <w:p w:rsidR="006916DC" w:rsidRPr="00CA6939" w:rsidRDefault="006916DC" w:rsidP="00CA6939">
      <w:pPr>
        <w:ind w:firstLine="709"/>
      </w:pPr>
      <w:r w:rsidRPr="00CA6939">
        <w:t xml:space="preserve">A manipueira foi aplicada em dose única, após a adição do esterco bovino, em quantidade conforme o tratamento. Ela foi coletada em casa de farinha localizada no Município de Cruz das Almas, na comunidade da Sapucaia, distando cerca de três quilômetros da área experimental. A coleta foi realizada diretamente na prensa, transferida para um recipiente com capacidade para </w:t>
      </w:r>
      <w:smartTag w:uri="urn:schemas-microsoft-com:office:smarttags" w:element="metricconverter">
        <w:smartTagPr>
          <w:attr w:name="ProductID" w:val="50 L"/>
        </w:smartTagPr>
        <w:r w:rsidRPr="00CA6939">
          <w:t>50 L</w:t>
        </w:r>
      </w:smartTag>
      <w:r w:rsidRPr="00CA6939">
        <w:t xml:space="preserve"> e transportada para a área experimental.</w:t>
      </w:r>
    </w:p>
    <w:p w:rsidR="006916DC" w:rsidRPr="00CA6939" w:rsidRDefault="006916DC" w:rsidP="00CA6939">
      <w:pPr>
        <w:ind w:firstLine="708"/>
      </w:pPr>
      <w:r w:rsidRPr="00CA6939">
        <w:t>Vale salientar que a manipueira ficou em repouso durante sete dias em temperatura ambiente, para volatilização do ácido cianídrico, sendo aplicada na sequência de acordo com os tratamentos estudados. Uma amostra do efluente foi mantida em ambiente refrigerado, para fins analíticos visando sua caracterização (Tabela 2).</w:t>
      </w:r>
    </w:p>
    <w:p w:rsidR="006916DC" w:rsidRPr="00CA6939" w:rsidRDefault="006916DC" w:rsidP="00CA6939"/>
    <w:p w:rsidR="006916DC" w:rsidRPr="00CA6939" w:rsidRDefault="0063398D" w:rsidP="00CA6939">
      <w:pPr>
        <w:pStyle w:val="Tabela"/>
        <w:spacing w:line="360" w:lineRule="auto"/>
      </w:pPr>
      <w:bookmarkStart w:id="6" w:name="_Toc30156652"/>
      <w:bookmarkStart w:id="7" w:name="_Toc38211748"/>
      <w:r w:rsidRPr="0063398D">
        <w:rPr>
          <w:b/>
        </w:rPr>
        <w:t xml:space="preserve">Tabela 2 </w:t>
      </w:r>
      <w:r w:rsidRPr="0063398D">
        <w:rPr>
          <w:b/>
        </w:rPr>
        <w:t>–</w:t>
      </w:r>
      <w:r w:rsidR="006916DC" w:rsidRPr="00CA6939">
        <w:t xml:space="preserve"> Característica da manipueira aplicada no cultivo do coentro ‘Verdão’</w:t>
      </w:r>
      <w:bookmarkEnd w:id="6"/>
      <w:r w:rsidR="006916DC" w:rsidRPr="00CA6939">
        <w:t>, em Cruz das Almas-BA, 2019.</w:t>
      </w:r>
      <w:bookmarkEnd w:id="7"/>
    </w:p>
    <w:tbl>
      <w:tblPr>
        <w:tblW w:w="9202" w:type="dxa"/>
        <w:jc w:val="center"/>
        <w:tblLook w:val="00A0" w:firstRow="1" w:lastRow="0" w:firstColumn="1" w:lastColumn="0" w:noHBand="0" w:noVBand="0"/>
      </w:tblPr>
      <w:tblGrid>
        <w:gridCol w:w="1194"/>
        <w:gridCol w:w="1250"/>
        <w:gridCol w:w="1220"/>
        <w:gridCol w:w="1080"/>
        <w:gridCol w:w="1061"/>
        <w:gridCol w:w="1080"/>
        <w:gridCol w:w="1123"/>
        <w:gridCol w:w="1194"/>
      </w:tblGrid>
      <w:tr w:rsidR="006916DC" w:rsidRPr="00CA6939" w:rsidTr="006155BD">
        <w:trPr>
          <w:trHeight w:val="408"/>
          <w:jc w:val="center"/>
        </w:trPr>
        <w:tc>
          <w:tcPr>
            <w:tcW w:w="1194" w:type="dxa"/>
            <w:vMerge w:val="restart"/>
            <w:tcBorders>
              <w:top w:val="single" w:sz="4" w:space="0" w:color="auto"/>
              <w:left w:val="nil"/>
              <w:bottom w:val="single" w:sz="4" w:space="0" w:color="auto"/>
              <w:right w:val="nil"/>
            </w:tcBorders>
            <w:vAlign w:val="center"/>
          </w:tcPr>
          <w:p w:rsidR="006916DC" w:rsidRPr="00CA6939" w:rsidRDefault="006916DC" w:rsidP="00CA6939">
            <w:pPr>
              <w:spacing w:before="80" w:after="40"/>
              <w:jc w:val="center"/>
            </w:pPr>
            <w:r w:rsidRPr="00CA6939">
              <w:t>pH</w:t>
            </w:r>
            <w:r w:rsidRPr="00CA6939">
              <w:rPr>
                <w:vertAlign w:val="superscript"/>
              </w:rPr>
              <w:t>(1)</w:t>
            </w:r>
          </w:p>
        </w:tc>
        <w:tc>
          <w:tcPr>
            <w:tcW w:w="1250" w:type="dxa"/>
            <w:tcBorders>
              <w:top w:val="single" w:sz="4" w:space="0" w:color="auto"/>
              <w:left w:val="nil"/>
              <w:bottom w:val="single" w:sz="4" w:space="0" w:color="auto"/>
              <w:right w:val="nil"/>
            </w:tcBorders>
            <w:vAlign w:val="center"/>
          </w:tcPr>
          <w:p w:rsidR="006916DC" w:rsidRPr="00CA6939" w:rsidRDefault="006916DC" w:rsidP="00CA6939">
            <w:pPr>
              <w:spacing w:before="80" w:after="40"/>
              <w:jc w:val="center"/>
              <w:rPr>
                <w:vertAlign w:val="superscript"/>
              </w:rPr>
            </w:pPr>
            <w:r w:rsidRPr="00CA6939">
              <w:t>CE</w:t>
            </w:r>
          </w:p>
        </w:tc>
        <w:tc>
          <w:tcPr>
            <w:tcW w:w="1220" w:type="dxa"/>
            <w:tcBorders>
              <w:top w:val="single" w:sz="4" w:space="0" w:color="auto"/>
              <w:left w:val="nil"/>
              <w:bottom w:val="single" w:sz="4" w:space="0" w:color="auto"/>
              <w:right w:val="nil"/>
            </w:tcBorders>
            <w:vAlign w:val="center"/>
          </w:tcPr>
          <w:p w:rsidR="006916DC" w:rsidRPr="00CA6939" w:rsidRDefault="006916DC" w:rsidP="00CA6939">
            <w:pPr>
              <w:spacing w:before="80" w:after="40"/>
              <w:jc w:val="center"/>
            </w:pPr>
            <w:r w:rsidRPr="00CA6939">
              <w:t>TDS</w:t>
            </w:r>
          </w:p>
        </w:tc>
        <w:tc>
          <w:tcPr>
            <w:tcW w:w="1080" w:type="dxa"/>
            <w:tcBorders>
              <w:top w:val="single" w:sz="4" w:space="0" w:color="auto"/>
              <w:left w:val="nil"/>
              <w:bottom w:val="single" w:sz="4" w:space="0" w:color="auto"/>
              <w:right w:val="nil"/>
            </w:tcBorders>
            <w:vAlign w:val="center"/>
          </w:tcPr>
          <w:p w:rsidR="006916DC" w:rsidRPr="00CA6939" w:rsidRDefault="006916DC" w:rsidP="00CA6939">
            <w:pPr>
              <w:spacing w:before="80" w:after="40"/>
              <w:jc w:val="center"/>
            </w:pPr>
            <w:r w:rsidRPr="00CA6939">
              <w:t>N</w:t>
            </w:r>
          </w:p>
        </w:tc>
        <w:tc>
          <w:tcPr>
            <w:tcW w:w="1061" w:type="dxa"/>
            <w:tcBorders>
              <w:top w:val="single" w:sz="4" w:space="0" w:color="auto"/>
              <w:left w:val="nil"/>
              <w:bottom w:val="single" w:sz="4" w:space="0" w:color="auto"/>
              <w:right w:val="nil"/>
            </w:tcBorders>
            <w:vAlign w:val="center"/>
          </w:tcPr>
          <w:p w:rsidR="006916DC" w:rsidRPr="00CA6939" w:rsidRDefault="006916DC" w:rsidP="00CA6939">
            <w:pPr>
              <w:spacing w:before="80" w:after="40"/>
              <w:jc w:val="center"/>
            </w:pPr>
            <w:r w:rsidRPr="00CA6939">
              <w:t>P</w:t>
            </w:r>
          </w:p>
        </w:tc>
        <w:tc>
          <w:tcPr>
            <w:tcW w:w="1080" w:type="dxa"/>
            <w:tcBorders>
              <w:top w:val="single" w:sz="4" w:space="0" w:color="auto"/>
              <w:left w:val="nil"/>
              <w:bottom w:val="single" w:sz="4" w:space="0" w:color="auto"/>
              <w:right w:val="nil"/>
            </w:tcBorders>
            <w:vAlign w:val="center"/>
          </w:tcPr>
          <w:p w:rsidR="006916DC" w:rsidRPr="00CA6939" w:rsidRDefault="006916DC" w:rsidP="00CA6939">
            <w:pPr>
              <w:spacing w:before="80" w:after="40"/>
              <w:jc w:val="center"/>
            </w:pPr>
            <w:r w:rsidRPr="00CA6939">
              <w:t>K</w:t>
            </w:r>
          </w:p>
        </w:tc>
        <w:tc>
          <w:tcPr>
            <w:tcW w:w="1123" w:type="dxa"/>
            <w:tcBorders>
              <w:top w:val="single" w:sz="4" w:space="0" w:color="auto"/>
              <w:left w:val="nil"/>
              <w:bottom w:val="single" w:sz="4" w:space="0" w:color="auto"/>
              <w:right w:val="nil"/>
            </w:tcBorders>
            <w:vAlign w:val="center"/>
          </w:tcPr>
          <w:p w:rsidR="006916DC" w:rsidRPr="00CA6939" w:rsidRDefault="006916DC" w:rsidP="00CA6939">
            <w:pPr>
              <w:spacing w:before="80" w:after="40"/>
              <w:jc w:val="center"/>
            </w:pPr>
            <w:r w:rsidRPr="00CA6939">
              <w:t>Ca</w:t>
            </w:r>
          </w:p>
        </w:tc>
        <w:tc>
          <w:tcPr>
            <w:tcW w:w="1191" w:type="dxa"/>
            <w:tcBorders>
              <w:top w:val="single" w:sz="4" w:space="0" w:color="auto"/>
              <w:left w:val="nil"/>
              <w:bottom w:val="single" w:sz="4" w:space="0" w:color="auto"/>
              <w:right w:val="nil"/>
            </w:tcBorders>
            <w:vAlign w:val="center"/>
          </w:tcPr>
          <w:p w:rsidR="006916DC" w:rsidRPr="00CA6939" w:rsidRDefault="006916DC" w:rsidP="00CA6939">
            <w:pPr>
              <w:spacing w:before="80" w:after="40"/>
              <w:jc w:val="center"/>
            </w:pPr>
            <w:r w:rsidRPr="00CA6939">
              <w:t>Mg</w:t>
            </w:r>
          </w:p>
        </w:tc>
      </w:tr>
      <w:tr w:rsidR="006916DC" w:rsidRPr="00CA6939" w:rsidTr="006155BD">
        <w:trPr>
          <w:trHeight w:val="432"/>
          <w:jc w:val="center"/>
        </w:trPr>
        <w:tc>
          <w:tcPr>
            <w:tcW w:w="0" w:type="auto"/>
            <w:vMerge/>
            <w:tcBorders>
              <w:top w:val="single" w:sz="4" w:space="0" w:color="auto"/>
              <w:left w:val="nil"/>
              <w:bottom w:val="single" w:sz="4" w:space="0" w:color="auto"/>
              <w:right w:val="nil"/>
            </w:tcBorders>
            <w:vAlign w:val="center"/>
          </w:tcPr>
          <w:p w:rsidR="006916DC" w:rsidRPr="00CA6939" w:rsidRDefault="006916DC" w:rsidP="00CA6939">
            <w:pPr>
              <w:spacing w:before="80" w:after="40"/>
              <w:jc w:val="left"/>
            </w:pPr>
          </w:p>
        </w:tc>
        <w:tc>
          <w:tcPr>
            <w:tcW w:w="1250" w:type="dxa"/>
            <w:tcBorders>
              <w:top w:val="nil"/>
              <w:left w:val="nil"/>
              <w:bottom w:val="single" w:sz="4" w:space="0" w:color="auto"/>
              <w:right w:val="nil"/>
            </w:tcBorders>
            <w:vAlign w:val="center"/>
          </w:tcPr>
          <w:p w:rsidR="006916DC" w:rsidRPr="00CA6939" w:rsidRDefault="006916DC" w:rsidP="00CA6939">
            <w:pPr>
              <w:spacing w:before="80" w:after="40"/>
              <w:jc w:val="center"/>
            </w:pPr>
            <w:r w:rsidRPr="00CA6939">
              <w:t>dS m</w:t>
            </w:r>
            <w:r w:rsidRPr="00CA6939">
              <w:rPr>
                <w:vertAlign w:val="superscript"/>
              </w:rPr>
              <w:t>-1</w:t>
            </w:r>
          </w:p>
        </w:tc>
        <w:tc>
          <w:tcPr>
            <w:tcW w:w="6758" w:type="dxa"/>
            <w:gridSpan w:val="6"/>
            <w:tcBorders>
              <w:top w:val="nil"/>
              <w:left w:val="nil"/>
              <w:bottom w:val="single" w:sz="4" w:space="0" w:color="auto"/>
              <w:right w:val="nil"/>
            </w:tcBorders>
            <w:vAlign w:val="center"/>
          </w:tcPr>
          <w:p w:rsidR="006916DC" w:rsidRPr="00CA6939" w:rsidRDefault="006916DC" w:rsidP="00CA6939">
            <w:pPr>
              <w:spacing w:before="80" w:after="40"/>
              <w:jc w:val="center"/>
            </w:pPr>
            <w:r w:rsidRPr="00CA6939">
              <w:t>----------------------------------------- mg L</w:t>
            </w:r>
            <w:r w:rsidRPr="00CA6939">
              <w:rPr>
                <w:vertAlign w:val="superscript"/>
              </w:rPr>
              <w:t>-1</w:t>
            </w:r>
            <w:r w:rsidRPr="00CA6939">
              <w:t xml:space="preserve"> -----------------------------------------</w:t>
            </w:r>
          </w:p>
        </w:tc>
      </w:tr>
      <w:tr w:rsidR="006916DC" w:rsidRPr="00CA6939" w:rsidTr="006155BD">
        <w:trPr>
          <w:trHeight w:val="432"/>
          <w:jc w:val="center"/>
        </w:trPr>
        <w:tc>
          <w:tcPr>
            <w:tcW w:w="1194" w:type="dxa"/>
            <w:tcBorders>
              <w:top w:val="single" w:sz="4" w:space="0" w:color="auto"/>
              <w:left w:val="nil"/>
              <w:bottom w:val="single" w:sz="4" w:space="0" w:color="auto"/>
              <w:right w:val="nil"/>
            </w:tcBorders>
            <w:vAlign w:val="center"/>
          </w:tcPr>
          <w:p w:rsidR="006916DC" w:rsidRPr="00CA6939" w:rsidRDefault="006916DC" w:rsidP="00CA6939">
            <w:pPr>
              <w:spacing w:before="80" w:after="40"/>
              <w:jc w:val="center"/>
            </w:pPr>
            <w:r w:rsidRPr="00CA6939">
              <w:lastRenderedPageBreak/>
              <w:t>3,86</w:t>
            </w:r>
          </w:p>
        </w:tc>
        <w:tc>
          <w:tcPr>
            <w:tcW w:w="1250" w:type="dxa"/>
            <w:tcBorders>
              <w:top w:val="single" w:sz="4" w:space="0" w:color="auto"/>
              <w:left w:val="nil"/>
              <w:bottom w:val="single" w:sz="4" w:space="0" w:color="auto"/>
              <w:right w:val="nil"/>
            </w:tcBorders>
            <w:vAlign w:val="center"/>
          </w:tcPr>
          <w:p w:rsidR="006916DC" w:rsidRPr="00CA6939" w:rsidRDefault="006916DC" w:rsidP="00CA6939">
            <w:pPr>
              <w:spacing w:before="80" w:after="40"/>
              <w:jc w:val="center"/>
            </w:pPr>
            <w:r w:rsidRPr="00CA6939">
              <w:t>10,85</w:t>
            </w:r>
          </w:p>
        </w:tc>
        <w:tc>
          <w:tcPr>
            <w:tcW w:w="1220" w:type="dxa"/>
            <w:tcBorders>
              <w:top w:val="single" w:sz="4" w:space="0" w:color="auto"/>
              <w:left w:val="nil"/>
              <w:bottom w:val="single" w:sz="4" w:space="0" w:color="auto"/>
              <w:right w:val="nil"/>
            </w:tcBorders>
            <w:vAlign w:val="center"/>
          </w:tcPr>
          <w:p w:rsidR="006916DC" w:rsidRPr="00CA6939" w:rsidRDefault="006916DC" w:rsidP="00CA6939">
            <w:pPr>
              <w:spacing w:before="80" w:after="40"/>
              <w:jc w:val="center"/>
            </w:pPr>
            <w:r w:rsidRPr="00CA6939">
              <w:t>2.557</w:t>
            </w:r>
          </w:p>
        </w:tc>
        <w:tc>
          <w:tcPr>
            <w:tcW w:w="1080" w:type="dxa"/>
            <w:tcBorders>
              <w:top w:val="single" w:sz="4" w:space="0" w:color="auto"/>
              <w:left w:val="nil"/>
              <w:bottom w:val="single" w:sz="4" w:space="0" w:color="auto"/>
              <w:right w:val="nil"/>
            </w:tcBorders>
            <w:vAlign w:val="center"/>
          </w:tcPr>
          <w:p w:rsidR="006916DC" w:rsidRPr="00CA6939" w:rsidRDefault="006916DC" w:rsidP="00CA6939">
            <w:pPr>
              <w:spacing w:before="80" w:after="40"/>
              <w:jc w:val="center"/>
            </w:pPr>
            <w:r w:rsidRPr="00CA6939">
              <w:t>104,7</w:t>
            </w:r>
          </w:p>
        </w:tc>
        <w:tc>
          <w:tcPr>
            <w:tcW w:w="1061" w:type="dxa"/>
            <w:tcBorders>
              <w:top w:val="single" w:sz="4" w:space="0" w:color="auto"/>
              <w:left w:val="nil"/>
              <w:bottom w:val="single" w:sz="4" w:space="0" w:color="auto"/>
              <w:right w:val="nil"/>
            </w:tcBorders>
            <w:vAlign w:val="center"/>
          </w:tcPr>
          <w:p w:rsidR="006916DC" w:rsidRPr="00CA6939" w:rsidRDefault="006916DC" w:rsidP="00CA6939">
            <w:pPr>
              <w:spacing w:before="80" w:after="40"/>
              <w:jc w:val="center"/>
            </w:pPr>
            <w:r w:rsidRPr="00CA6939">
              <w:t>1.280,7</w:t>
            </w:r>
          </w:p>
        </w:tc>
        <w:tc>
          <w:tcPr>
            <w:tcW w:w="1080" w:type="dxa"/>
            <w:tcBorders>
              <w:top w:val="single" w:sz="4" w:space="0" w:color="auto"/>
              <w:left w:val="nil"/>
              <w:bottom w:val="single" w:sz="4" w:space="0" w:color="auto"/>
              <w:right w:val="nil"/>
            </w:tcBorders>
            <w:vAlign w:val="center"/>
          </w:tcPr>
          <w:p w:rsidR="006916DC" w:rsidRPr="00CA6939" w:rsidRDefault="006916DC" w:rsidP="00CA6939">
            <w:pPr>
              <w:spacing w:before="80" w:after="40"/>
              <w:jc w:val="center"/>
            </w:pPr>
            <w:r w:rsidRPr="00CA6939">
              <w:t>8.733,5</w:t>
            </w:r>
          </w:p>
        </w:tc>
        <w:tc>
          <w:tcPr>
            <w:tcW w:w="1123" w:type="dxa"/>
            <w:tcBorders>
              <w:top w:val="single" w:sz="4" w:space="0" w:color="auto"/>
              <w:left w:val="nil"/>
              <w:bottom w:val="single" w:sz="4" w:space="0" w:color="auto"/>
              <w:right w:val="nil"/>
            </w:tcBorders>
            <w:vAlign w:val="center"/>
          </w:tcPr>
          <w:p w:rsidR="006916DC" w:rsidRPr="00CA6939" w:rsidRDefault="006916DC" w:rsidP="00CA6939">
            <w:pPr>
              <w:spacing w:before="80" w:after="40"/>
              <w:jc w:val="center"/>
            </w:pPr>
            <w:r w:rsidRPr="00CA6939">
              <w:t>404,5</w:t>
            </w:r>
          </w:p>
        </w:tc>
        <w:tc>
          <w:tcPr>
            <w:tcW w:w="1191" w:type="dxa"/>
            <w:tcBorders>
              <w:top w:val="single" w:sz="4" w:space="0" w:color="auto"/>
              <w:left w:val="nil"/>
              <w:bottom w:val="single" w:sz="4" w:space="0" w:color="auto"/>
              <w:right w:val="nil"/>
            </w:tcBorders>
            <w:vAlign w:val="center"/>
          </w:tcPr>
          <w:p w:rsidR="006916DC" w:rsidRPr="00CA6939" w:rsidRDefault="006916DC" w:rsidP="00CA6939">
            <w:pPr>
              <w:spacing w:before="80" w:after="40"/>
              <w:jc w:val="center"/>
            </w:pPr>
            <w:r w:rsidRPr="00CA6939">
              <w:t>812,9</w:t>
            </w:r>
          </w:p>
        </w:tc>
      </w:tr>
    </w:tbl>
    <w:p w:rsidR="006916DC" w:rsidRPr="00CA6939" w:rsidRDefault="006916DC" w:rsidP="00CA6939">
      <w:pPr>
        <w:spacing w:before="40"/>
        <w:rPr>
          <w:vertAlign w:val="superscript"/>
        </w:rPr>
      </w:pPr>
      <w:r w:rsidRPr="00CA6939">
        <w:rPr>
          <w:vertAlign w:val="superscript"/>
        </w:rPr>
        <w:t xml:space="preserve">(1) </w:t>
      </w:r>
      <w:r w:rsidRPr="00CA6939">
        <w:t xml:space="preserve">pH – potencial hidrogeniônico; CE – condutividade elétrica; TDS – sólidos totais dissolvidos; N – nitrogênio; P – fósforo; K – potássio; Ca – cálcio; e Mg – magnésio.  </w:t>
      </w:r>
    </w:p>
    <w:p w:rsidR="006916DC" w:rsidRPr="00CA6939" w:rsidRDefault="006916DC" w:rsidP="00CA6939">
      <w:pPr>
        <w:ind w:firstLine="708"/>
      </w:pPr>
    </w:p>
    <w:p w:rsidR="006916DC" w:rsidRPr="00CA6939" w:rsidRDefault="006916DC" w:rsidP="00CA6939">
      <w:pPr>
        <w:ind w:firstLine="708"/>
        <w:rPr>
          <w:highlight w:val="yellow"/>
        </w:rPr>
      </w:pPr>
      <w:r w:rsidRPr="00CA6939">
        <w:t>O experimento foi conduzido de 24 de julho a 2 de setembro de 2019. O coentro ‘Verdão’ foi semeado diretamente no vaso aos sete dias após a aplicação dos tratamentos, sendo inseridas cerca de 15 sementes por vaso. O desbaste foi realizado 15 dias após a semeadura (DAS), deixando 10 plantas por vaso.</w:t>
      </w:r>
    </w:p>
    <w:p w:rsidR="006916DC" w:rsidRPr="00CA6939" w:rsidRDefault="006916DC" w:rsidP="00CA6939">
      <w:pPr>
        <w:ind w:firstLine="708"/>
      </w:pPr>
      <w:r w:rsidRPr="00CA6939">
        <w:t>A irrigação foi realizada com água de abastecimento proveniente da Embasa, conforme as necessidades hídricas da cultura, completando a umidade para 75 % da capacidade de campo (U</w:t>
      </w:r>
      <w:r w:rsidRPr="00CA6939">
        <w:rPr>
          <w:vertAlign w:val="subscript"/>
        </w:rPr>
        <w:t>cc</w:t>
      </w:r>
      <w:r w:rsidRPr="00CA6939">
        <w:t xml:space="preserve"> = </w:t>
      </w:r>
      <w:smartTag w:uri="urn:schemas-microsoft-com:office:smarttags" w:element="metricconverter">
        <w:smartTagPr>
          <w:attr w:name="ProductID" w:val="0,1164 kg"/>
        </w:smartTagPr>
        <w:r w:rsidRPr="00CA6939">
          <w:t>0,1164 kg</w:t>
        </w:r>
      </w:smartTag>
      <w:r w:rsidRPr="00CA6939">
        <w:t xml:space="preserve"> kg</w:t>
      </w:r>
      <w:r w:rsidRPr="00CA6939">
        <w:rPr>
          <w:vertAlign w:val="superscript"/>
        </w:rPr>
        <w:t>-1</w:t>
      </w:r>
      <w:r w:rsidRPr="00CA6939">
        <w:t>), com base na pesagem dos vasos e auxílio de uma proveta graduada. Foram realizadas capinas manuais com o objetivo de manter a cultura livre de plantas espontâneas.</w:t>
      </w:r>
    </w:p>
    <w:p w:rsidR="006916DC" w:rsidRPr="00CA6939" w:rsidRDefault="006916DC" w:rsidP="00CA6939">
      <w:pPr>
        <w:ind w:firstLine="708"/>
      </w:pPr>
      <w:r w:rsidRPr="00CA6939">
        <w:t xml:space="preserve">Aos 30 DAS foi realizada a biometria e coleta de cinco plantas para avaliação. Ao final dos 40 DAS foram coletadas as cinco plantas restantes, encerrando a condução do experimento. As variáveis avaliadas foram altura da planta (AP), número de folhas (NF) e diâmetro do caule (DC), determinadas aos 30 e 40 DAS; massa fresca da parte aérea (MFPA), massa seca da parte aérea (MSPA), área foliar (AF) e suculência da parte aérea (SCPA), determinados aos 40 DAS; taxa de crescimento absoluto (TCA) e taxa de crescimento relativo (TCR) determinados no período de </w:t>
      </w:r>
      <w:smartTag w:uri="urn:schemas-microsoft-com:office:smarttags" w:element="metricconverter">
        <w:smartTagPr>
          <w:attr w:name="ProductID" w:val="30 a"/>
        </w:smartTagPr>
        <w:r w:rsidRPr="00CA6939">
          <w:t>30 a</w:t>
        </w:r>
      </w:smartTag>
      <w:r w:rsidRPr="00CA6939">
        <w:t xml:space="preserve"> 40 DAS.</w:t>
      </w:r>
    </w:p>
    <w:p w:rsidR="006916DC" w:rsidRPr="00CA6939" w:rsidRDefault="006916DC" w:rsidP="00CA6939">
      <w:pPr>
        <w:ind w:firstLine="708"/>
      </w:pPr>
      <w:r w:rsidRPr="00CA6939">
        <w:t xml:space="preserve">A AP foi determinada com o auxílio de uma fita milimétrica, medindo-se do colo da planta até a última folha totalmente expandida. O NF foi obtido por contagem direta. Para avaliação do DC utilizou-se um paquímetro digital, com precisão de </w:t>
      </w:r>
      <w:smartTag w:uri="urn:schemas-microsoft-com:office:smarttags" w:element="metricconverter">
        <w:smartTagPr>
          <w:attr w:name="ProductID" w:val="0,01 mm"/>
        </w:smartTagPr>
        <w:r w:rsidRPr="00CA6939">
          <w:t>0,01 mm</w:t>
        </w:r>
      </w:smartTag>
      <w:r w:rsidRPr="00CA6939">
        <w:t xml:space="preserve">, na base do colo da planta. Para a obtenção da MFPA e MSPA foram pesadas as cinco plantas em conjunto com auxílio de uma balança de precisão. A MSPA foi obtida após secagem em estufa de ventilação forçada a 65 ºC até atingir massa constante. Para a mensuração da AF foi utilizado o scanner CI-202 Area Meter. Mediante os dados de MFPA e MSPA foi possível determinar a TCA, a TCR e a </w:t>
      </w:r>
      <w:r w:rsidRPr="00CA6939">
        <w:t>SCPA, conforme Benincasa (2003).</w:t>
      </w:r>
    </w:p>
    <w:p w:rsidR="006916DC" w:rsidRPr="00CA6939" w:rsidRDefault="006916DC" w:rsidP="00CA6939">
      <w:pPr>
        <w:ind w:firstLine="708"/>
      </w:pPr>
      <w:r w:rsidRPr="00CA6939">
        <w:t>Os resultados obtidos para todas as variáveis foram submetidos à análise de variância e teste F. As médias das variáveis de dados qualitativos foram submetidas ao teste de Tukey (p</w:t>
      </w:r>
      <w:r w:rsidRPr="00CA6939">
        <w:sym w:font="Symbol" w:char="F0A3"/>
      </w:r>
      <w:r w:rsidRPr="00CA6939">
        <w:t xml:space="preserve">0,05) e para as dos dados quantitativos realizou-se a análise de regressão. Os modelos foram escolhidos em função de sua significância pelo teste F </w:t>
      </w:r>
      <w:r w:rsidRPr="00CA6939">
        <w:lastRenderedPageBreak/>
        <w:t>(p</w:t>
      </w:r>
      <w:r w:rsidRPr="00CA6939">
        <w:sym w:font="Symbol" w:char="F0A3"/>
      </w:r>
      <w:r w:rsidRPr="00CA6939">
        <w:t>0,05) e pelo coeficiente de determinação (R²). Para tanto, utilizou-se o programa computacional SISVAR, versão 5.6 (FERREIRA, 2014).</w:t>
      </w:r>
    </w:p>
    <w:p w:rsidR="006916DC" w:rsidRPr="00CA6939" w:rsidRDefault="006916DC" w:rsidP="00CA6939">
      <w:pPr>
        <w:ind w:firstLine="708"/>
      </w:pPr>
    </w:p>
    <w:p w:rsidR="006916DC" w:rsidRPr="0063398D" w:rsidRDefault="0063398D" w:rsidP="00D142DC">
      <w:pPr>
        <w:rPr>
          <w:b/>
        </w:rPr>
      </w:pPr>
      <w:bookmarkStart w:id="8" w:name="_Toc38286770"/>
      <w:r w:rsidRPr="0063398D">
        <w:rPr>
          <w:b/>
        </w:rPr>
        <w:t xml:space="preserve">Resultados e </w:t>
      </w:r>
      <w:r>
        <w:rPr>
          <w:b/>
        </w:rPr>
        <w:t>D</w:t>
      </w:r>
      <w:r w:rsidRPr="0063398D">
        <w:rPr>
          <w:b/>
        </w:rPr>
        <w:t>iscussão</w:t>
      </w:r>
      <w:bookmarkEnd w:id="8"/>
    </w:p>
    <w:p w:rsidR="006916DC" w:rsidRPr="00CA6939" w:rsidRDefault="006916DC" w:rsidP="00CA6939"/>
    <w:p w:rsidR="006916DC" w:rsidRPr="00CA6939" w:rsidRDefault="006916DC" w:rsidP="00CA6939">
      <w:pPr>
        <w:ind w:firstLine="708"/>
      </w:pPr>
      <w:r w:rsidRPr="00CA6939">
        <w:t>Os tratamentos aplicados promoveram diferenças significativas (p</w:t>
      </w:r>
      <w:r w:rsidRPr="00CA6939">
        <w:sym w:font="Symbol" w:char="F0A3"/>
      </w:r>
      <w:r w:rsidRPr="00CA6939">
        <w:t>0,01) em relação à altura da planta (AP), número de folhas (NF) e diâmetro do caule (DC) do coentro 'Verdão', aos 30 e 40 DAS (Tabela 3). Do mesmo modo, a interação entre os fatores, esterco bovino e doses de manipueira, foi altamente significativa (p</w:t>
      </w:r>
      <w:r w:rsidRPr="00CA6939">
        <w:sym w:font="Symbol" w:char="F0A3"/>
      </w:r>
      <w:r w:rsidRPr="00CA6939">
        <w:t>0,01).</w:t>
      </w:r>
    </w:p>
    <w:p w:rsidR="006916DC" w:rsidRPr="00CA6939" w:rsidRDefault="006916DC" w:rsidP="00CA6939"/>
    <w:p w:rsidR="006916DC" w:rsidRPr="00CA6939" w:rsidRDefault="006916DC" w:rsidP="00CA6939">
      <w:pPr>
        <w:pStyle w:val="Tabela"/>
        <w:spacing w:line="360" w:lineRule="auto"/>
      </w:pPr>
      <w:bookmarkStart w:id="9" w:name="_Toc38211749"/>
      <w:r w:rsidRPr="0063398D">
        <w:rPr>
          <w:b/>
        </w:rPr>
        <w:t>Tabela 3</w:t>
      </w:r>
      <w:r w:rsidR="0063398D" w:rsidRPr="0063398D">
        <w:rPr>
          <w:b/>
          <w:lang w:val="pt-BR"/>
        </w:rPr>
        <w:t xml:space="preserve"> </w:t>
      </w:r>
      <w:r w:rsidR="0063398D" w:rsidRPr="0063398D">
        <w:rPr>
          <w:b/>
        </w:rPr>
        <w:t>–</w:t>
      </w:r>
      <w:r w:rsidRPr="00CA6939">
        <w:t xml:space="preserve"> Resumo da análise de variância com os respectivos quadrados médios para as variáveis altura da planta (AP), número de folhas (NF) e diâmetro do caule (DC) do coentro 'Verdão' cultivado sob doses de manipueira na presença e ausência de esterco bovino, aos 30 e 40 dias após a semeadura (DAS), em Cruz das Almas-BA, 2019.</w:t>
      </w:r>
      <w:bookmarkEnd w:id="9"/>
      <w:r w:rsidRPr="00CA6939">
        <w:t xml:space="preserve"> </w:t>
      </w:r>
    </w:p>
    <w:tbl>
      <w:tblPr>
        <w:tblW w:w="9109" w:type="dxa"/>
        <w:jc w:val="center"/>
        <w:tblBorders>
          <w:top w:val="single" w:sz="4" w:space="0" w:color="auto"/>
          <w:bottom w:val="single" w:sz="4" w:space="0" w:color="auto"/>
        </w:tblBorders>
        <w:tblLook w:val="00A0" w:firstRow="1" w:lastRow="0" w:firstColumn="1" w:lastColumn="0" w:noHBand="0" w:noVBand="0"/>
      </w:tblPr>
      <w:tblGrid>
        <w:gridCol w:w="1666"/>
        <w:gridCol w:w="555"/>
        <w:gridCol w:w="1156"/>
        <w:gridCol w:w="1156"/>
        <w:gridCol w:w="1156"/>
        <w:gridCol w:w="1336"/>
        <w:gridCol w:w="1048"/>
        <w:gridCol w:w="1036"/>
      </w:tblGrid>
      <w:tr w:rsidR="006916DC" w:rsidRPr="00CA6939" w:rsidTr="006155BD">
        <w:trPr>
          <w:trHeight w:val="290"/>
          <w:jc w:val="center"/>
        </w:trPr>
        <w:tc>
          <w:tcPr>
            <w:tcW w:w="1781" w:type="dxa"/>
            <w:vMerge w:val="restart"/>
            <w:tcBorders>
              <w:top w:val="single" w:sz="4" w:space="0" w:color="auto"/>
              <w:left w:val="nil"/>
              <w:bottom w:val="single" w:sz="4" w:space="0" w:color="auto"/>
              <w:right w:val="nil"/>
            </w:tcBorders>
            <w:vAlign w:val="center"/>
          </w:tcPr>
          <w:p w:rsidR="006916DC" w:rsidRPr="00CA6939" w:rsidRDefault="006916DC" w:rsidP="00CA6939">
            <w:pPr>
              <w:spacing w:before="80"/>
              <w:jc w:val="center"/>
              <w:rPr>
                <w:vertAlign w:val="superscript"/>
              </w:rPr>
            </w:pPr>
            <w:r w:rsidRPr="00CA6939">
              <w:t>FV</w:t>
            </w:r>
            <w:r w:rsidRPr="00CA6939">
              <w:rPr>
                <w:vertAlign w:val="superscript"/>
              </w:rPr>
              <w:t>(1)</w:t>
            </w:r>
          </w:p>
        </w:tc>
        <w:tc>
          <w:tcPr>
            <w:tcW w:w="561" w:type="dxa"/>
            <w:vMerge w:val="restart"/>
            <w:tcBorders>
              <w:top w:val="single" w:sz="4" w:space="0" w:color="auto"/>
              <w:left w:val="nil"/>
              <w:bottom w:val="single" w:sz="4" w:space="0" w:color="auto"/>
              <w:right w:val="nil"/>
            </w:tcBorders>
            <w:vAlign w:val="center"/>
          </w:tcPr>
          <w:p w:rsidR="006916DC" w:rsidRPr="00CA6939" w:rsidRDefault="006916DC" w:rsidP="00CA6939">
            <w:pPr>
              <w:spacing w:before="80"/>
              <w:jc w:val="center"/>
            </w:pPr>
            <w:r w:rsidRPr="00CA6939">
              <w:t>GL</w:t>
            </w:r>
          </w:p>
        </w:tc>
        <w:tc>
          <w:tcPr>
            <w:tcW w:w="2245" w:type="dxa"/>
            <w:gridSpan w:val="2"/>
            <w:tcBorders>
              <w:top w:val="single" w:sz="4" w:space="0" w:color="auto"/>
              <w:left w:val="nil"/>
              <w:bottom w:val="single" w:sz="4" w:space="0" w:color="auto"/>
              <w:right w:val="nil"/>
            </w:tcBorders>
            <w:vAlign w:val="center"/>
          </w:tcPr>
          <w:p w:rsidR="006916DC" w:rsidRPr="00CA6939" w:rsidRDefault="006916DC" w:rsidP="00CA6939">
            <w:pPr>
              <w:spacing w:before="80"/>
              <w:jc w:val="center"/>
            </w:pPr>
            <w:r w:rsidRPr="00CA6939">
              <w:t>AP</w:t>
            </w:r>
            <w:r w:rsidRPr="00CA6939">
              <w:rPr>
                <w:vertAlign w:val="superscript"/>
              </w:rPr>
              <w:t>(2)</w:t>
            </w:r>
          </w:p>
        </w:tc>
        <w:tc>
          <w:tcPr>
            <w:tcW w:w="2431" w:type="dxa"/>
            <w:gridSpan w:val="2"/>
            <w:tcBorders>
              <w:top w:val="single" w:sz="4" w:space="0" w:color="auto"/>
              <w:left w:val="nil"/>
              <w:bottom w:val="single" w:sz="4" w:space="0" w:color="auto"/>
              <w:right w:val="nil"/>
            </w:tcBorders>
            <w:vAlign w:val="center"/>
          </w:tcPr>
          <w:p w:rsidR="006916DC" w:rsidRPr="00CA6939" w:rsidRDefault="006916DC" w:rsidP="00CA6939">
            <w:pPr>
              <w:spacing w:before="80"/>
              <w:jc w:val="center"/>
            </w:pPr>
            <w:r w:rsidRPr="00CA6939">
              <w:t>NF</w:t>
            </w:r>
          </w:p>
        </w:tc>
        <w:tc>
          <w:tcPr>
            <w:tcW w:w="2091" w:type="dxa"/>
            <w:gridSpan w:val="2"/>
            <w:tcBorders>
              <w:top w:val="single" w:sz="4" w:space="0" w:color="auto"/>
              <w:left w:val="nil"/>
              <w:bottom w:val="single" w:sz="4" w:space="0" w:color="auto"/>
              <w:right w:val="nil"/>
            </w:tcBorders>
            <w:vAlign w:val="center"/>
          </w:tcPr>
          <w:p w:rsidR="006916DC" w:rsidRPr="00CA6939" w:rsidRDefault="006916DC" w:rsidP="00CA6939">
            <w:pPr>
              <w:spacing w:before="80"/>
              <w:jc w:val="center"/>
            </w:pPr>
            <w:r w:rsidRPr="00CA6939">
              <w:t>DC</w:t>
            </w:r>
          </w:p>
        </w:tc>
      </w:tr>
      <w:tr w:rsidR="006916DC" w:rsidRPr="00CA6939" w:rsidTr="006155BD">
        <w:trPr>
          <w:trHeight w:val="356"/>
          <w:jc w:val="center"/>
        </w:trPr>
        <w:tc>
          <w:tcPr>
            <w:tcW w:w="1781" w:type="dxa"/>
            <w:vMerge/>
            <w:tcBorders>
              <w:top w:val="single" w:sz="4" w:space="0" w:color="auto"/>
              <w:left w:val="nil"/>
              <w:bottom w:val="single" w:sz="4" w:space="0" w:color="auto"/>
              <w:right w:val="nil"/>
            </w:tcBorders>
            <w:vAlign w:val="center"/>
          </w:tcPr>
          <w:p w:rsidR="006916DC" w:rsidRPr="00CA6939" w:rsidRDefault="006916DC" w:rsidP="00CA6939">
            <w:pPr>
              <w:jc w:val="left"/>
              <w:rPr>
                <w:vertAlign w:val="superscript"/>
              </w:rPr>
            </w:pPr>
          </w:p>
        </w:tc>
        <w:tc>
          <w:tcPr>
            <w:tcW w:w="0" w:type="auto"/>
            <w:vMerge/>
            <w:tcBorders>
              <w:top w:val="single" w:sz="4" w:space="0" w:color="auto"/>
              <w:left w:val="nil"/>
              <w:bottom w:val="single" w:sz="4" w:space="0" w:color="auto"/>
              <w:right w:val="nil"/>
            </w:tcBorders>
            <w:vAlign w:val="center"/>
          </w:tcPr>
          <w:p w:rsidR="006916DC" w:rsidRPr="00CA6939" w:rsidRDefault="006916DC" w:rsidP="00CA6939">
            <w:pPr>
              <w:jc w:val="left"/>
            </w:pPr>
          </w:p>
        </w:tc>
        <w:tc>
          <w:tcPr>
            <w:tcW w:w="1122" w:type="dxa"/>
            <w:tcBorders>
              <w:top w:val="single" w:sz="4" w:space="0" w:color="auto"/>
              <w:left w:val="nil"/>
              <w:bottom w:val="single" w:sz="4" w:space="0" w:color="auto"/>
              <w:right w:val="nil"/>
            </w:tcBorders>
            <w:vAlign w:val="center"/>
          </w:tcPr>
          <w:p w:rsidR="006916DC" w:rsidRPr="00CA6939" w:rsidRDefault="006916DC" w:rsidP="00CA6939">
            <w:pPr>
              <w:spacing w:before="80"/>
              <w:jc w:val="center"/>
            </w:pPr>
            <w:r w:rsidRPr="00CA6939">
              <w:t>30 DAS</w:t>
            </w:r>
          </w:p>
        </w:tc>
        <w:tc>
          <w:tcPr>
            <w:tcW w:w="1122" w:type="dxa"/>
            <w:tcBorders>
              <w:top w:val="single" w:sz="4" w:space="0" w:color="auto"/>
              <w:left w:val="nil"/>
              <w:bottom w:val="single" w:sz="4" w:space="0" w:color="auto"/>
              <w:right w:val="nil"/>
            </w:tcBorders>
            <w:vAlign w:val="center"/>
          </w:tcPr>
          <w:p w:rsidR="006916DC" w:rsidRPr="00CA6939" w:rsidRDefault="006916DC" w:rsidP="00CA6939">
            <w:pPr>
              <w:spacing w:before="80"/>
              <w:jc w:val="center"/>
            </w:pPr>
            <w:r w:rsidRPr="00CA6939">
              <w:t>40 DAS</w:t>
            </w:r>
          </w:p>
        </w:tc>
        <w:tc>
          <w:tcPr>
            <w:tcW w:w="1122" w:type="dxa"/>
            <w:tcBorders>
              <w:top w:val="single" w:sz="4" w:space="0" w:color="auto"/>
              <w:left w:val="nil"/>
              <w:bottom w:val="single" w:sz="4" w:space="0" w:color="auto"/>
              <w:right w:val="nil"/>
            </w:tcBorders>
            <w:vAlign w:val="center"/>
          </w:tcPr>
          <w:p w:rsidR="006916DC" w:rsidRPr="00CA6939" w:rsidRDefault="006916DC" w:rsidP="00CA6939">
            <w:pPr>
              <w:spacing w:before="80"/>
              <w:jc w:val="center"/>
            </w:pPr>
            <w:r w:rsidRPr="00CA6939">
              <w:t>30 DAS</w:t>
            </w:r>
          </w:p>
        </w:tc>
        <w:tc>
          <w:tcPr>
            <w:tcW w:w="1308" w:type="dxa"/>
            <w:tcBorders>
              <w:top w:val="single" w:sz="4" w:space="0" w:color="auto"/>
              <w:left w:val="nil"/>
              <w:bottom w:val="single" w:sz="4" w:space="0" w:color="auto"/>
              <w:right w:val="nil"/>
            </w:tcBorders>
            <w:vAlign w:val="center"/>
          </w:tcPr>
          <w:p w:rsidR="006916DC" w:rsidRPr="00CA6939" w:rsidRDefault="006916DC" w:rsidP="00CA6939">
            <w:pPr>
              <w:spacing w:before="80"/>
              <w:jc w:val="center"/>
            </w:pPr>
            <w:r w:rsidRPr="00CA6939">
              <w:t>40 DAS</w:t>
            </w:r>
          </w:p>
        </w:tc>
        <w:tc>
          <w:tcPr>
            <w:tcW w:w="1093" w:type="dxa"/>
            <w:tcBorders>
              <w:top w:val="single" w:sz="4" w:space="0" w:color="auto"/>
              <w:left w:val="nil"/>
              <w:bottom w:val="single" w:sz="4" w:space="0" w:color="auto"/>
              <w:right w:val="nil"/>
            </w:tcBorders>
            <w:vAlign w:val="center"/>
          </w:tcPr>
          <w:p w:rsidR="006916DC" w:rsidRPr="00CA6939" w:rsidRDefault="006916DC" w:rsidP="00CA6939">
            <w:pPr>
              <w:spacing w:before="80"/>
              <w:jc w:val="center"/>
            </w:pPr>
            <w:r w:rsidRPr="00CA6939">
              <w:t>30 DAS</w:t>
            </w:r>
          </w:p>
        </w:tc>
        <w:tc>
          <w:tcPr>
            <w:tcW w:w="998" w:type="dxa"/>
            <w:tcBorders>
              <w:top w:val="single" w:sz="4" w:space="0" w:color="auto"/>
              <w:left w:val="nil"/>
              <w:bottom w:val="single" w:sz="4" w:space="0" w:color="auto"/>
              <w:right w:val="nil"/>
            </w:tcBorders>
            <w:vAlign w:val="center"/>
          </w:tcPr>
          <w:p w:rsidR="006916DC" w:rsidRPr="00CA6939" w:rsidRDefault="006916DC" w:rsidP="00CA6939">
            <w:pPr>
              <w:spacing w:before="80"/>
              <w:jc w:val="center"/>
            </w:pPr>
            <w:r w:rsidRPr="00CA6939">
              <w:t>40 DAS</w:t>
            </w:r>
          </w:p>
        </w:tc>
      </w:tr>
      <w:tr w:rsidR="006916DC" w:rsidRPr="00CA6939" w:rsidTr="006155BD">
        <w:trPr>
          <w:trHeight w:val="290"/>
          <w:jc w:val="center"/>
        </w:trPr>
        <w:tc>
          <w:tcPr>
            <w:tcW w:w="1781" w:type="dxa"/>
            <w:tcBorders>
              <w:top w:val="single" w:sz="4" w:space="0" w:color="auto"/>
              <w:left w:val="nil"/>
              <w:bottom w:val="nil"/>
              <w:right w:val="nil"/>
            </w:tcBorders>
            <w:vAlign w:val="center"/>
          </w:tcPr>
          <w:p w:rsidR="006916DC" w:rsidRPr="00CA6939" w:rsidRDefault="006916DC" w:rsidP="00CA6939">
            <w:pPr>
              <w:spacing w:before="80"/>
              <w:jc w:val="center"/>
            </w:pPr>
            <w:r w:rsidRPr="00CA6939">
              <w:t>Esterco (E)</w:t>
            </w:r>
          </w:p>
        </w:tc>
        <w:tc>
          <w:tcPr>
            <w:tcW w:w="561" w:type="dxa"/>
            <w:tcBorders>
              <w:top w:val="single" w:sz="4" w:space="0" w:color="auto"/>
              <w:left w:val="nil"/>
              <w:bottom w:val="nil"/>
              <w:right w:val="nil"/>
            </w:tcBorders>
            <w:vAlign w:val="center"/>
          </w:tcPr>
          <w:p w:rsidR="006916DC" w:rsidRPr="00CA6939" w:rsidRDefault="006916DC" w:rsidP="00CA6939">
            <w:pPr>
              <w:spacing w:before="80"/>
              <w:jc w:val="center"/>
            </w:pPr>
            <w:r w:rsidRPr="00CA6939">
              <w:t>1</w:t>
            </w:r>
          </w:p>
        </w:tc>
        <w:tc>
          <w:tcPr>
            <w:tcW w:w="1122" w:type="dxa"/>
            <w:tcBorders>
              <w:top w:val="single" w:sz="4" w:space="0" w:color="auto"/>
              <w:left w:val="nil"/>
              <w:bottom w:val="nil"/>
              <w:right w:val="nil"/>
            </w:tcBorders>
            <w:vAlign w:val="center"/>
          </w:tcPr>
          <w:p w:rsidR="006916DC" w:rsidRPr="00CA6939" w:rsidRDefault="006916DC" w:rsidP="00CA6939">
            <w:pPr>
              <w:spacing w:before="80"/>
              <w:jc w:val="center"/>
            </w:pPr>
            <w:r w:rsidRPr="00CA6939">
              <w:t>565,152</w:t>
            </w:r>
            <w:r w:rsidRPr="00CA6939">
              <w:rPr>
                <w:vertAlign w:val="superscript"/>
              </w:rPr>
              <w:t>**</w:t>
            </w:r>
          </w:p>
        </w:tc>
        <w:tc>
          <w:tcPr>
            <w:tcW w:w="1122" w:type="dxa"/>
            <w:tcBorders>
              <w:top w:val="single" w:sz="4" w:space="0" w:color="auto"/>
              <w:left w:val="nil"/>
              <w:bottom w:val="nil"/>
              <w:right w:val="nil"/>
            </w:tcBorders>
            <w:vAlign w:val="center"/>
          </w:tcPr>
          <w:p w:rsidR="006916DC" w:rsidRPr="00CA6939" w:rsidRDefault="006916DC" w:rsidP="00CA6939">
            <w:pPr>
              <w:spacing w:before="80"/>
              <w:jc w:val="center"/>
            </w:pPr>
            <w:r w:rsidRPr="00CA6939">
              <w:t>531,380</w:t>
            </w:r>
            <w:r w:rsidRPr="00CA6939">
              <w:rPr>
                <w:vertAlign w:val="superscript"/>
              </w:rPr>
              <w:t>**</w:t>
            </w:r>
          </w:p>
        </w:tc>
        <w:tc>
          <w:tcPr>
            <w:tcW w:w="1122" w:type="dxa"/>
            <w:tcBorders>
              <w:top w:val="single" w:sz="4" w:space="0" w:color="auto"/>
              <w:left w:val="nil"/>
              <w:bottom w:val="nil"/>
              <w:right w:val="nil"/>
            </w:tcBorders>
            <w:vAlign w:val="center"/>
          </w:tcPr>
          <w:p w:rsidR="006916DC" w:rsidRPr="00CA6939" w:rsidRDefault="006916DC" w:rsidP="00CA6939">
            <w:pPr>
              <w:spacing w:before="80"/>
              <w:jc w:val="center"/>
            </w:pPr>
            <w:r w:rsidRPr="00CA6939">
              <w:t>941,780</w:t>
            </w:r>
            <w:r w:rsidRPr="00CA6939">
              <w:rPr>
                <w:vertAlign w:val="superscript"/>
              </w:rPr>
              <w:t>**</w:t>
            </w:r>
          </w:p>
        </w:tc>
        <w:tc>
          <w:tcPr>
            <w:tcW w:w="1308" w:type="dxa"/>
            <w:tcBorders>
              <w:top w:val="single" w:sz="4" w:space="0" w:color="auto"/>
              <w:left w:val="nil"/>
              <w:bottom w:val="nil"/>
              <w:right w:val="nil"/>
            </w:tcBorders>
            <w:vAlign w:val="center"/>
          </w:tcPr>
          <w:p w:rsidR="006916DC" w:rsidRPr="00CA6939" w:rsidRDefault="006916DC" w:rsidP="00CA6939">
            <w:pPr>
              <w:spacing w:before="80"/>
              <w:jc w:val="center"/>
            </w:pPr>
            <w:r w:rsidRPr="00CA6939">
              <w:t>3.612,500</w:t>
            </w:r>
            <w:r w:rsidRPr="00CA6939">
              <w:rPr>
                <w:vertAlign w:val="superscript"/>
              </w:rPr>
              <w:t>**</w:t>
            </w:r>
          </w:p>
        </w:tc>
        <w:tc>
          <w:tcPr>
            <w:tcW w:w="1093" w:type="dxa"/>
            <w:tcBorders>
              <w:top w:val="single" w:sz="4" w:space="0" w:color="auto"/>
              <w:left w:val="nil"/>
              <w:bottom w:val="nil"/>
              <w:right w:val="nil"/>
            </w:tcBorders>
            <w:vAlign w:val="center"/>
          </w:tcPr>
          <w:p w:rsidR="006916DC" w:rsidRPr="00CA6939" w:rsidRDefault="006916DC" w:rsidP="00CA6939">
            <w:pPr>
              <w:spacing w:before="80"/>
              <w:jc w:val="center"/>
            </w:pPr>
            <w:r w:rsidRPr="00CA6939">
              <w:t>7,334</w:t>
            </w:r>
            <w:r w:rsidRPr="00CA6939">
              <w:rPr>
                <w:vertAlign w:val="superscript"/>
              </w:rPr>
              <w:t>**</w:t>
            </w:r>
          </w:p>
        </w:tc>
        <w:tc>
          <w:tcPr>
            <w:tcW w:w="998" w:type="dxa"/>
            <w:tcBorders>
              <w:top w:val="single" w:sz="4" w:space="0" w:color="auto"/>
              <w:left w:val="nil"/>
              <w:bottom w:val="nil"/>
              <w:right w:val="nil"/>
            </w:tcBorders>
          </w:tcPr>
          <w:p w:rsidR="006916DC" w:rsidRPr="00CA6939" w:rsidRDefault="006916DC" w:rsidP="00CA6939">
            <w:pPr>
              <w:spacing w:before="80"/>
              <w:jc w:val="center"/>
            </w:pPr>
            <w:r w:rsidRPr="00CA6939">
              <w:t>33,439</w:t>
            </w:r>
            <w:r w:rsidRPr="00CA6939">
              <w:rPr>
                <w:vertAlign w:val="superscript"/>
              </w:rPr>
              <w:t>**</w:t>
            </w:r>
          </w:p>
        </w:tc>
      </w:tr>
      <w:tr w:rsidR="006916DC" w:rsidRPr="00CA6939" w:rsidTr="006155BD">
        <w:trPr>
          <w:trHeight w:val="290"/>
          <w:jc w:val="center"/>
        </w:trPr>
        <w:tc>
          <w:tcPr>
            <w:tcW w:w="1781" w:type="dxa"/>
            <w:tcBorders>
              <w:top w:val="nil"/>
              <w:left w:val="nil"/>
              <w:bottom w:val="nil"/>
              <w:right w:val="nil"/>
            </w:tcBorders>
            <w:vAlign w:val="center"/>
          </w:tcPr>
          <w:p w:rsidR="006916DC" w:rsidRPr="00CA6939" w:rsidRDefault="006916DC" w:rsidP="00CA6939">
            <w:pPr>
              <w:spacing w:before="80"/>
              <w:jc w:val="center"/>
            </w:pPr>
            <w:r w:rsidRPr="00CA6939">
              <w:t>Manipueira (M)</w:t>
            </w:r>
          </w:p>
        </w:tc>
        <w:tc>
          <w:tcPr>
            <w:tcW w:w="561" w:type="dxa"/>
            <w:tcBorders>
              <w:top w:val="nil"/>
              <w:left w:val="nil"/>
              <w:bottom w:val="nil"/>
              <w:right w:val="nil"/>
            </w:tcBorders>
            <w:vAlign w:val="center"/>
          </w:tcPr>
          <w:p w:rsidR="006916DC" w:rsidRPr="00CA6939" w:rsidRDefault="006916DC" w:rsidP="00CA6939">
            <w:pPr>
              <w:spacing w:before="80"/>
              <w:jc w:val="center"/>
            </w:pPr>
            <w:r w:rsidRPr="00CA6939">
              <w:t>4</w:t>
            </w:r>
          </w:p>
        </w:tc>
        <w:tc>
          <w:tcPr>
            <w:tcW w:w="1122" w:type="dxa"/>
            <w:tcBorders>
              <w:top w:val="nil"/>
              <w:left w:val="nil"/>
              <w:bottom w:val="nil"/>
              <w:right w:val="nil"/>
            </w:tcBorders>
            <w:vAlign w:val="center"/>
          </w:tcPr>
          <w:p w:rsidR="006916DC" w:rsidRPr="00CA6939" w:rsidRDefault="006916DC" w:rsidP="00CA6939">
            <w:pPr>
              <w:spacing w:before="80"/>
              <w:jc w:val="center"/>
            </w:pPr>
            <w:r w:rsidRPr="00CA6939">
              <w:t>160,634</w:t>
            </w:r>
            <w:r w:rsidRPr="00CA6939">
              <w:rPr>
                <w:vertAlign w:val="superscript"/>
              </w:rPr>
              <w:t>**</w:t>
            </w:r>
          </w:p>
        </w:tc>
        <w:tc>
          <w:tcPr>
            <w:tcW w:w="1122" w:type="dxa"/>
            <w:tcBorders>
              <w:top w:val="nil"/>
              <w:left w:val="nil"/>
              <w:bottom w:val="nil"/>
              <w:right w:val="nil"/>
            </w:tcBorders>
            <w:vAlign w:val="center"/>
          </w:tcPr>
          <w:p w:rsidR="006916DC" w:rsidRPr="00CA6939" w:rsidRDefault="006916DC" w:rsidP="00CA6939">
            <w:pPr>
              <w:spacing w:before="80"/>
              <w:jc w:val="center"/>
            </w:pPr>
            <w:r w:rsidRPr="00CA6939">
              <w:t>109,695</w:t>
            </w:r>
            <w:r w:rsidRPr="00CA6939">
              <w:rPr>
                <w:vertAlign w:val="superscript"/>
              </w:rPr>
              <w:t>**</w:t>
            </w:r>
          </w:p>
        </w:tc>
        <w:tc>
          <w:tcPr>
            <w:tcW w:w="1122" w:type="dxa"/>
            <w:tcBorders>
              <w:top w:val="nil"/>
              <w:left w:val="nil"/>
              <w:bottom w:val="nil"/>
              <w:right w:val="nil"/>
            </w:tcBorders>
            <w:vAlign w:val="center"/>
          </w:tcPr>
          <w:p w:rsidR="006916DC" w:rsidRPr="00CA6939" w:rsidRDefault="006916DC" w:rsidP="00CA6939">
            <w:pPr>
              <w:spacing w:before="80"/>
              <w:jc w:val="center"/>
            </w:pPr>
            <w:r w:rsidRPr="00CA6939">
              <w:t>165,500</w:t>
            </w:r>
            <w:r w:rsidRPr="00CA6939">
              <w:rPr>
                <w:vertAlign w:val="superscript"/>
              </w:rPr>
              <w:t>**</w:t>
            </w:r>
          </w:p>
        </w:tc>
        <w:tc>
          <w:tcPr>
            <w:tcW w:w="1308" w:type="dxa"/>
            <w:tcBorders>
              <w:top w:val="nil"/>
              <w:left w:val="nil"/>
              <w:bottom w:val="nil"/>
              <w:right w:val="nil"/>
            </w:tcBorders>
            <w:vAlign w:val="center"/>
          </w:tcPr>
          <w:p w:rsidR="006916DC" w:rsidRPr="00CA6939" w:rsidRDefault="006916DC" w:rsidP="00CA6939">
            <w:pPr>
              <w:spacing w:before="80"/>
              <w:jc w:val="center"/>
            </w:pPr>
            <w:r w:rsidRPr="00CA6939">
              <w:t>401,530</w:t>
            </w:r>
            <w:r w:rsidRPr="00CA6939">
              <w:rPr>
                <w:vertAlign w:val="superscript"/>
              </w:rPr>
              <w:t>**</w:t>
            </w:r>
          </w:p>
        </w:tc>
        <w:tc>
          <w:tcPr>
            <w:tcW w:w="1093" w:type="dxa"/>
            <w:tcBorders>
              <w:top w:val="nil"/>
              <w:left w:val="nil"/>
              <w:bottom w:val="nil"/>
              <w:right w:val="nil"/>
            </w:tcBorders>
            <w:vAlign w:val="center"/>
          </w:tcPr>
          <w:p w:rsidR="006916DC" w:rsidRPr="00CA6939" w:rsidRDefault="006916DC" w:rsidP="00CA6939">
            <w:pPr>
              <w:spacing w:before="80"/>
              <w:jc w:val="center"/>
            </w:pPr>
            <w:r w:rsidRPr="00CA6939">
              <w:t>0,803</w:t>
            </w:r>
            <w:r w:rsidRPr="00CA6939">
              <w:rPr>
                <w:vertAlign w:val="superscript"/>
              </w:rPr>
              <w:t>**</w:t>
            </w:r>
          </w:p>
        </w:tc>
        <w:tc>
          <w:tcPr>
            <w:tcW w:w="998" w:type="dxa"/>
            <w:tcBorders>
              <w:top w:val="nil"/>
              <w:left w:val="nil"/>
              <w:bottom w:val="nil"/>
              <w:right w:val="nil"/>
            </w:tcBorders>
          </w:tcPr>
          <w:p w:rsidR="006916DC" w:rsidRPr="00CA6939" w:rsidRDefault="006916DC" w:rsidP="00CA6939">
            <w:pPr>
              <w:spacing w:before="80"/>
              <w:jc w:val="center"/>
            </w:pPr>
            <w:r w:rsidRPr="00CA6939">
              <w:t>5,607</w:t>
            </w:r>
            <w:r w:rsidRPr="00CA6939">
              <w:rPr>
                <w:vertAlign w:val="superscript"/>
              </w:rPr>
              <w:t>**</w:t>
            </w:r>
          </w:p>
        </w:tc>
      </w:tr>
      <w:tr w:rsidR="006916DC" w:rsidRPr="00CA6939" w:rsidTr="006155BD">
        <w:trPr>
          <w:trHeight w:val="276"/>
          <w:jc w:val="center"/>
        </w:trPr>
        <w:tc>
          <w:tcPr>
            <w:tcW w:w="1781" w:type="dxa"/>
            <w:tcBorders>
              <w:top w:val="nil"/>
              <w:left w:val="nil"/>
              <w:bottom w:val="nil"/>
              <w:right w:val="nil"/>
            </w:tcBorders>
            <w:vAlign w:val="center"/>
          </w:tcPr>
          <w:p w:rsidR="006916DC" w:rsidRPr="00CA6939" w:rsidRDefault="006916DC" w:rsidP="00CA6939">
            <w:pPr>
              <w:spacing w:before="80"/>
              <w:jc w:val="center"/>
            </w:pPr>
            <w:r w:rsidRPr="00CA6939">
              <w:t>E*M</w:t>
            </w:r>
          </w:p>
        </w:tc>
        <w:tc>
          <w:tcPr>
            <w:tcW w:w="561" w:type="dxa"/>
            <w:tcBorders>
              <w:top w:val="nil"/>
              <w:left w:val="nil"/>
              <w:bottom w:val="nil"/>
              <w:right w:val="nil"/>
            </w:tcBorders>
            <w:vAlign w:val="center"/>
          </w:tcPr>
          <w:p w:rsidR="006916DC" w:rsidRPr="00CA6939" w:rsidRDefault="006916DC" w:rsidP="00CA6939">
            <w:pPr>
              <w:spacing w:before="80"/>
              <w:jc w:val="center"/>
            </w:pPr>
            <w:r w:rsidRPr="00CA6939">
              <w:t>4</w:t>
            </w:r>
          </w:p>
        </w:tc>
        <w:tc>
          <w:tcPr>
            <w:tcW w:w="1122" w:type="dxa"/>
            <w:tcBorders>
              <w:top w:val="nil"/>
              <w:left w:val="nil"/>
              <w:bottom w:val="nil"/>
              <w:right w:val="nil"/>
            </w:tcBorders>
            <w:vAlign w:val="center"/>
          </w:tcPr>
          <w:p w:rsidR="006916DC" w:rsidRPr="00CA6939" w:rsidRDefault="006916DC" w:rsidP="00CA6939">
            <w:pPr>
              <w:spacing w:before="80"/>
              <w:jc w:val="center"/>
            </w:pPr>
            <w:r w:rsidRPr="00CA6939">
              <w:t>22,881</w:t>
            </w:r>
            <w:r w:rsidRPr="00CA6939">
              <w:rPr>
                <w:vertAlign w:val="superscript"/>
              </w:rPr>
              <w:t>**</w:t>
            </w:r>
          </w:p>
        </w:tc>
        <w:tc>
          <w:tcPr>
            <w:tcW w:w="1122" w:type="dxa"/>
            <w:tcBorders>
              <w:top w:val="nil"/>
              <w:left w:val="nil"/>
              <w:bottom w:val="nil"/>
              <w:right w:val="nil"/>
            </w:tcBorders>
            <w:vAlign w:val="center"/>
          </w:tcPr>
          <w:p w:rsidR="006916DC" w:rsidRPr="00CA6939" w:rsidRDefault="006916DC" w:rsidP="00CA6939">
            <w:pPr>
              <w:spacing w:before="80"/>
              <w:jc w:val="center"/>
            </w:pPr>
            <w:r w:rsidRPr="00CA6939">
              <w:t>36,755</w:t>
            </w:r>
            <w:r w:rsidRPr="00CA6939">
              <w:rPr>
                <w:vertAlign w:val="superscript"/>
              </w:rPr>
              <w:t>**</w:t>
            </w:r>
          </w:p>
        </w:tc>
        <w:tc>
          <w:tcPr>
            <w:tcW w:w="1122" w:type="dxa"/>
            <w:tcBorders>
              <w:top w:val="nil"/>
              <w:left w:val="nil"/>
              <w:bottom w:val="nil"/>
              <w:right w:val="nil"/>
            </w:tcBorders>
            <w:vAlign w:val="center"/>
          </w:tcPr>
          <w:p w:rsidR="006916DC" w:rsidRPr="00CA6939" w:rsidRDefault="006916DC" w:rsidP="00CA6939">
            <w:pPr>
              <w:spacing w:before="80"/>
              <w:jc w:val="center"/>
            </w:pPr>
            <w:r w:rsidRPr="00CA6939">
              <w:t>23,780</w:t>
            </w:r>
            <w:r w:rsidRPr="00CA6939">
              <w:rPr>
                <w:vertAlign w:val="superscript"/>
              </w:rPr>
              <w:t>**</w:t>
            </w:r>
          </w:p>
        </w:tc>
        <w:tc>
          <w:tcPr>
            <w:tcW w:w="1308" w:type="dxa"/>
            <w:tcBorders>
              <w:top w:val="nil"/>
              <w:left w:val="nil"/>
              <w:bottom w:val="nil"/>
              <w:right w:val="nil"/>
            </w:tcBorders>
            <w:vAlign w:val="center"/>
          </w:tcPr>
          <w:p w:rsidR="006916DC" w:rsidRPr="00CA6939" w:rsidRDefault="006916DC" w:rsidP="00CA6939">
            <w:pPr>
              <w:spacing w:before="80"/>
              <w:jc w:val="center"/>
            </w:pPr>
            <w:r w:rsidRPr="00CA6939">
              <w:t>184,350</w:t>
            </w:r>
            <w:r w:rsidRPr="00CA6939">
              <w:rPr>
                <w:vertAlign w:val="superscript"/>
              </w:rPr>
              <w:t>**</w:t>
            </w:r>
          </w:p>
        </w:tc>
        <w:tc>
          <w:tcPr>
            <w:tcW w:w="1093" w:type="dxa"/>
            <w:tcBorders>
              <w:top w:val="nil"/>
              <w:left w:val="nil"/>
              <w:bottom w:val="nil"/>
              <w:right w:val="nil"/>
            </w:tcBorders>
            <w:vAlign w:val="center"/>
          </w:tcPr>
          <w:p w:rsidR="006916DC" w:rsidRPr="00CA6939" w:rsidRDefault="006916DC" w:rsidP="00CA6939">
            <w:pPr>
              <w:spacing w:before="80"/>
              <w:jc w:val="center"/>
            </w:pPr>
            <w:r w:rsidRPr="00CA6939">
              <w:t>0,304</w:t>
            </w:r>
            <w:r w:rsidRPr="00CA6939">
              <w:rPr>
                <w:vertAlign w:val="superscript"/>
              </w:rPr>
              <w:t>**</w:t>
            </w:r>
          </w:p>
        </w:tc>
        <w:tc>
          <w:tcPr>
            <w:tcW w:w="998" w:type="dxa"/>
            <w:tcBorders>
              <w:top w:val="nil"/>
              <w:left w:val="nil"/>
              <w:bottom w:val="nil"/>
              <w:right w:val="nil"/>
            </w:tcBorders>
          </w:tcPr>
          <w:p w:rsidR="006916DC" w:rsidRPr="00CA6939" w:rsidRDefault="006916DC" w:rsidP="00CA6939">
            <w:pPr>
              <w:spacing w:before="80"/>
              <w:jc w:val="center"/>
            </w:pPr>
            <w:r w:rsidRPr="00CA6939">
              <w:t>1,268</w:t>
            </w:r>
            <w:r w:rsidRPr="00CA6939">
              <w:rPr>
                <w:vertAlign w:val="superscript"/>
              </w:rPr>
              <w:t>**</w:t>
            </w:r>
          </w:p>
        </w:tc>
      </w:tr>
      <w:tr w:rsidR="006916DC" w:rsidRPr="00CA6939" w:rsidTr="006155BD">
        <w:trPr>
          <w:trHeight w:val="290"/>
          <w:jc w:val="center"/>
        </w:trPr>
        <w:tc>
          <w:tcPr>
            <w:tcW w:w="1781" w:type="dxa"/>
            <w:tcBorders>
              <w:top w:val="nil"/>
              <w:left w:val="nil"/>
              <w:bottom w:val="single" w:sz="4" w:space="0" w:color="auto"/>
              <w:right w:val="nil"/>
            </w:tcBorders>
            <w:vAlign w:val="center"/>
          </w:tcPr>
          <w:p w:rsidR="006916DC" w:rsidRPr="00CA6939" w:rsidRDefault="006916DC" w:rsidP="00CA6939">
            <w:pPr>
              <w:spacing w:before="80"/>
              <w:jc w:val="center"/>
            </w:pPr>
            <w:r w:rsidRPr="00CA6939">
              <w:t xml:space="preserve">Erro </w:t>
            </w:r>
          </w:p>
        </w:tc>
        <w:tc>
          <w:tcPr>
            <w:tcW w:w="561" w:type="dxa"/>
            <w:tcBorders>
              <w:top w:val="nil"/>
              <w:left w:val="nil"/>
              <w:bottom w:val="single" w:sz="4" w:space="0" w:color="auto"/>
              <w:right w:val="nil"/>
            </w:tcBorders>
            <w:vAlign w:val="center"/>
          </w:tcPr>
          <w:p w:rsidR="006916DC" w:rsidRPr="00CA6939" w:rsidRDefault="006916DC" w:rsidP="00CA6939">
            <w:pPr>
              <w:spacing w:before="80"/>
              <w:jc w:val="center"/>
            </w:pPr>
            <w:r w:rsidRPr="00CA6939">
              <w:t>40</w:t>
            </w:r>
          </w:p>
        </w:tc>
        <w:tc>
          <w:tcPr>
            <w:tcW w:w="1122" w:type="dxa"/>
            <w:tcBorders>
              <w:top w:val="nil"/>
              <w:left w:val="nil"/>
              <w:bottom w:val="single" w:sz="4" w:space="0" w:color="auto"/>
              <w:right w:val="nil"/>
            </w:tcBorders>
            <w:vAlign w:val="center"/>
          </w:tcPr>
          <w:p w:rsidR="006916DC" w:rsidRPr="00CA6939" w:rsidRDefault="006916DC" w:rsidP="00CA6939">
            <w:pPr>
              <w:spacing w:before="80"/>
              <w:jc w:val="center"/>
            </w:pPr>
            <w:r w:rsidRPr="00CA6939">
              <w:t>0,988</w:t>
            </w:r>
          </w:p>
        </w:tc>
        <w:tc>
          <w:tcPr>
            <w:tcW w:w="1122" w:type="dxa"/>
            <w:tcBorders>
              <w:top w:val="nil"/>
              <w:left w:val="nil"/>
              <w:bottom w:val="single" w:sz="4" w:space="0" w:color="auto"/>
              <w:right w:val="nil"/>
            </w:tcBorders>
            <w:vAlign w:val="center"/>
          </w:tcPr>
          <w:p w:rsidR="006916DC" w:rsidRPr="00CA6939" w:rsidRDefault="006916DC" w:rsidP="00CA6939">
            <w:pPr>
              <w:spacing w:before="80"/>
              <w:jc w:val="center"/>
            </w:pPr>
            <w:r w:rsidRPr="00CA6939">
              <w:t>0,715</w:t>
            </w:r>
          </w:p>
        </w:tc>
        <w:tc>
          <w:tcPr>
            <w:tcW w:w="1122" w:type="dxa"/>
            <w:tcBorders>
              <w:top w:val="nil"/>
              <w:left w:val="nil"/>
              <w:bottom w:val="single" w:sz="4" w:space="0" w:color="auto"/>
              <w:right w:val="nil"/>
            </w:tcBorders>
            <w:vAlign w:val="center"/>
          </w:tcPr>
          <w:p w:rsidR="006916DC" w:rsidRPr="00CA6939" w:rsidRDefault="006916DC" w:rsidP="00CA6939">
            <w:pPr>
              <w:spacing w:before="80"/>
              <w:jc w:val="center"/>
            </w:pPr>
            <w:r w:rsidRPr="00CA6939">
              <w:t>1,31</w:t>
            </w:r>
          </w:p>
        </w:tc>
        <w:tc>
          <w:tcPr>
            <w:tcW w:w="1308" w:type="dxa"/>
            <w:tcBorders>
              <w:top w:val="nil"/>
              <w:left w:val="nil"/>
              <w:bottom w:val="single" w:sz="4" w:space="0" w:color="auto"/>
              <w:right w:val="nil"/>
            </w:tcBorders>
            <w:vAlign w:val="center"/>
          </w:tcPr>
          <w:p w:rsidR="006916DC" w:rsidRPr="00CA6939" w:rsidRDefault="006916DC" w:rsidP="00CA6939">
            <w:pPr>
              <w:spacing w:before="80"/>
              <w:jc w:val="center"/>
            </w:pPr>
            <w:r w:rsidRPr="00CA6939">
              <w:t>3,520</w:t>
            </w:r>
          </w:p>
        </w:tc>
        <w:tc>
          <w:tcPr>
            <w:tcW w:w="1093" w:type="dxa"/>
            <w:tcBorders>
              <w:top w:val="nil"/>
              <w:left w:val="nil"/>
              <w:bottom w:val="single" w:sz="4" w:space="0" w:color="auto"/>
              <w:right w:val="nil"/>
            </w:tcBorders>
            <w:vAlign w:val="center"/>
          </w:tcPr>
          <w:p w:rsidR="006916DC" w:rsidRPr="00CA6939" w:rsidRDefault="006916DC" w:rsidP="00CA6939">
            <w:pPr>
              <w:spacing w:before="80"/>
              <w:jc w:val="center"/>
            </w:pPr>
            <w:r w:rsidRPr="00CA6939">
              <w:t>0,053</w:t>
            </w:r>
          </w:p>
        </w:tc>
        <w:tc>
          <w:tcPr>
            <w:tcW w:w="998" w:type="dxa"/>
            <w:tcBorders>
              <w:top w:val="nil"/>
              <w:left w:val="nil"/>
              <w:bottom w:val="single" w:sz="4" w:space="0" w:color="auto"/>
              <w:right w:val="nil"/>
            </w:tcBorders>
          </w:tcPr>
          <w:p w:rsidR="006916DC" w:rsidRPr="00CA6939" w:rsidRDefault="006916DC" w:rsidP="00CA6939">
            <w:pPr>
              <w:spacing w:before="80"/>
              <w:jc w:val="center"/>
            </w:pPr>
            <w:r w:rsidRPr="00CA6939">
              <w:t>0,113</w:t>
            </w:r>
          </w:p>
        </w:tc>
      </w:tr>
      <w:tr w:rsidR="006916DC" w:rsidRPr="00CA6939" w:rsidTr="006155BD">
        <w:trPr>
          <w:trHeight w:val="290"/>
          <w:jc w:val="center"/>
        </w:trPr>
        <w:tc>
          <w:tcPr>
            <w:tcW w:w="1781" w:type="dxa"/>
            <w:tcBorders>
              <w:top w:val="single" w:sz="4" w:space="0" w:color="auto"/>
              <w:left w:val="nil"/>
              <w:bottom w:val="nil"/>
              <w:right w:val="nil"/>
            </w:tcBorders>
            <w:vAlign w:val="center"/>
          </w:tcPr>
          <w:p w:rsidR="006916DC" w:rsidRPr="00CA6939" w:rsidRDefault="006916DC" w:rsidP="00CA6939">
            <w:pPr>
              <w:spacing w:before="80"/>
              <w:jc w:val="center"/>
            </w:pPr>
            <w:r w:rsidRPr="00CA6939">
              <w:t>Média</w:t>
            </w:r>
          </w:p>
        </w:tc>
        <w:tc>
          <w:tcPr>
            <w:tcW w:w="561" w:type="dxa"/>
            <w:tcBorders>
              <w:top w:val="single" w:sz="4" w:space="0" w:color="auto"/>
              <w:left w:val="nil"/>
              <w:bottom w:val="nil"/>
              <w:right w:val="nil"/>
            </w:tcBorders>
            <w:vAlign w:val="center"/>
          </w:tcPr>
          <w:p w:rsidR="006916DC" w:rsidRPr="00CA6939" w:rsidRDefault="006916DC" w:rsidP="00CA6939">
            <w:pPr>
              <w:spacing w:before="80"/>
              <w:jc w:val="center"/>
            </w:pPr>
            <w:r w:rsidRPr="00CA6939">
              <w:t>-</w:t>
            </w:r>
          </w:p>
        </w:tc>
        <w:tc>
          <w:tcPr>
            <w:tcW w:w="1122" w:type="dxa"/>
            <w:tcBorders>
              <w:top w:val="single" w:sz="4" w:space="0" w:color="auto"/>
              <w:left w:val="nil"/>
              <w:bottom w:val="nil"/>
              <w:right w:val="nil"/>
            </w:tcBorders>
            <w:vAlign w:val="center"/>
          </w:tcPr>
          <w:p w:rsidR="006916DC" w:rsidRPr="00CA6939" w:rsidRDefault="006916DC" w:rsidP="00CA6939">
            <w:pPr>
              <w:spacing w:before="80"/>
              <w:jc w:val="center"/>
            </w:pPr>
            <w:smartTag w:uri="urn:schemas-microsoft-com:office:smarttags" w:element="metricconverter">
              <w:smartTagPr>
                <w:attr w:name="ProductID" w:val="15,4 cm"/>
              </w:smartTagPr>
              <w:r w:rsidRPr="00CA6939">
                <w:t>15,4 cm</w:t>
              </w:r>
            </w:smartTag>
          </w:p>
        </w:tc>
        <w:tc>
          <w:tcPr>
            <w:tcW w:w="1122" w:type="dxa"/>
            <w:tcBorders>
              <w:top w:val="single" w:sz="4" w:space="0" w:color="auto"/>
              <w:left w:val="nil"/>
              <w:bottom w:val="nil"/>
              <w:right w:val="nil"/>
            </w:tcBorders>
            <w:vAlign w:val="center"/>
          </w:tcPr>
          <w:p w:rsidR="006916DC" w:rsidRPr="00CA6939" w:rsidRDefault="006916DC" w:rsidP="00CA6939">
            <w:pPr>
              <w:spacing w:before="80"/>
              <w:jc w:val="center"/>
            </w:pPr>
            <w:smartTag w:uri="urn:schemas-microsoft-com:office:smarttags" w:element="metricconverter">
              <w:smartTagPr>
                <w:attr w:name="ProductID" w:val="18,4 cm"/>
              </w:smartTagPr>
              <w:r w:rsidRPr="00CA6939">
                <w:t>18,4 cm</w:t>
              </w:r>
            </w:smartTag>
          </w:p>
        </w:tc>
        <w:tc>
          <w:tcPr>
            <w:tcW w:w="1122" w:type="dxa"/>
            <w:tcBorders>
              <w:top w:val="single" w:sz="4" w:space="0" w:color="auto"/>
              <w:left w:val="nil"/>
              <w:bottom w:val="nil"/>
              <w:right w:val="nil"/>
            </w:tcBorders>
            <w:vAlign w:val="center"/>
          </w:tcPr>
          <w:p w:rsidR="006916DC" w:rsidRPr="00CA6939" w:rsidRDefault="006916DC" w:rsidP="00CA6939">
            <w:pPr>
              <w:spacing w:before="80"/>
              <w:jc w:val="center"/>
            </w:pPr>
            <w:r w:rsidRPr="00CA6939">
              <w:t>16,7</w:t>
            </w:r>
          </w:p>
        </w:tc>
        <w:tc>
          <w:tcPr>
            <w:tcW w:w="1308" w:type="dxa"/>
            <w:tcBorders>
              <w:top w:val="single" w:sz="4" w:space="0" w:color="auto"/>
              <w:left w:val="nil"/>
              <w:bottom w:val="nil"/>
              <w:right w:val="nil"/>
            </w:tcBorders>
            <w:vAlign w:val="center"/>
          </w:tcPr>
          <w:p w:rsidR="006916DC" w:rsidRPr="00CA6939" w:rsidRDefault="006916DC" w:rsidP="00CA6939">
            <w:pPr>
              <w:spacing w:before="80"/>
              <w:jc w:val="center"/>
            </w:pPr>
            <w:r w:rsidRPr="00CA6939">
              <w:t>26,1</w:t>
            </w:r>
          </w:p>
        </w:tc>
        <w:tc>
          <w:tcPr>
            <w:tcW w:w="1093" w:type="dxa"/>
            <w:tcBorders>
              <w:top w:val="single" w:sz="4" w:space="0" w:color="auto"/>
              <w:left w:val="nil"/>
              <w:bottom w:val="nil"/>
              <w:right w:val="nil"/>
            </w:tcBorders>
            <w:vAlign w:val="center"/>
          </w:tcPr>
          <w:p w:rsidR="006916DC" w:rsidRPr="00CA6939" w:rsidRDefault="006916DC" w:rsidP="00CA6939">
            <w:pPr>
              <w:spacing w:before="80"/>
              <w:jc w:val="center"/>
            </w:pPr>
            <w:smartTag w:uri="urn:schemas-microsoft-com:office:smarttags" w:element="metricconverter">
              <w:smartTagPr>
                <w:attr w:name="ProductID" w:val="1,9 mm"/>
              </w:smartTagPr>
              <w:r w:rsidRPr="00CA6939">
                <w:t>1,9 mm</w:t>
              </w:r>
            </w:smartTag>
          </w:p>
        </w:tc>
        <w:tc>
          <w:tcPr>
            <w:tcW w:w="998" w:type="dxa"/>
            <w:tcBorders>
              <w:top w:val="single" w:sz="4" w:space="0" w:color="auto"/>
              <w:left w:val="nil"/>
              <w:bottom w:val="nil"/>
              <w:right w:val="nil"/>
            </w:tcBorders>
          </w:tcPr>
          <w:p w:rsidR="006916DC" w:rsidRPr="00CA6939" w:rsidRDefault="006916DC" w:rsidP="00CA6939">
            <w:pPr>
              <w:spacing w:before="80"/>
              <w:jc w:val="center"/>
            </w:pPr>
            <w:smartTag w:uri="urn:schemas-microsoft-com:office:smarttags" w:element="metricconverter">
              <w:smartTagPr>
                <w:attr w:name="ProductID" w:val="3,3 mm"/>
              </w:smartTagPr>
              <w:r w:rsidRPr="00CA6939">
                <w:t>3,3 mm</w:t>
              </w:r>
            </w:smartTag>
          </w:p>
        </w:tc>
      </w:tr>
      <w:tr w:rsidR="006916DC" w:rsidRPr="00CA6939" w:rsidTr="006155BD">
        <w:trPr>
          <w:trHeight w:val="290"/>
          <w:jc w:val="center"/>
        </w:trPr>
        <w:tc>
          <w:tcPr>
            <w:tcW w:w="1781" w:type="dxa"/>
            <w:tcBorders>
              <w:top w:val="nil"/>
              <w:left w:val="nil"/>
              <w:bottom w:val="single" w:sz="4" w:space="0" w:color="auto"/>
              <w:right w:val="nil"/>
            </w:tcBorders>
            <w:vAlign w:val="center"/>
          </w:tcPr>
          <w:p w:rsidR="006916DC" w:rsidRPr="00CA6939" w:rsidRDefault="006916DC" w:rsidP="00CA6939">
            <w:pPr>
              <w:spacing w:before="80"/>
              <w:jc w:val="center"/>
            </w:pPr>
            <w:r w:rsidRPr="00CA6939">
              <w:t>CV (%)</w:t>
            </w:r>
          </w:p>
        </w:tc>
        <w:tc>
          <w:tcPr>
            <w:tcW w:w="561" w:type="dxa"/>
            <w:tcBorders>
              <w:top w:val="nil"/>
              <w:left w:val="nil"/>
              <w:bottom w:val="single" w:sz="4" w:space="0" w:color="auto"/>
              <w:right w:val="nil"/>
            </w:tcBorders>
            <w:vAlign w:val="center"/>
          </w:tcPr>
          <w:p w:rsidR="006916DC" w:rsidRPr="00CA6939" w:rsidRDefault="006916DC" w:rsidP="00CA6939">
            <w:pPr>
              <w:spacing w:before="80"/>
              <w:jc w:val="center"/>
            </w:pPr>
            <w:r w:rsidRPr="00CA6939">
              <w:t>-</w:t>
            </w:r>
          </w:p>
        </w:tc>
        <w:tc>
          <w:tcPr>
            <w:tcW w:w="1122" w:type="dxa"/>
            <w:tcBorders>
              <w:top w:val="nil"/>
              <w:left w:val="nil"/>
              <w:bottom w:val="single" w:sz="4" w:space="0" w:color="auto"/>
              <w:right w:val="nil"/>
            </w:tcBorders>
            <w:vAlign w:val="center"/>
          </w:tcPr>
          <w:p w:rsidR="006916DC" w:rsidRPr="00CA6939" w:rsidRDefault="006916DC" w:rsidP="00CA6939">
            <w:pPr>
              <w:spacing w:before="80"/>
              <w:jc w:val="center"/>
            </w:pPr>
            <w:r w:rsidRPr="00CA6939">
              <w:t>6,5</w:t>
            </w:r>
          </w:p>
        </w:tc>
        <w:tc>
          <w:tcPr>
            <w:tcW w:w="1122" w:type="dxa"/>
            <w:tcBorders>
              <w:top w:val="nil"/>
              <w:left w:val="nil"/>
              <w:bottom w:val="single" w:sz="4" w:space="0" w:color="auto"/>
              <w:right w:val="nil"/>
            </w:tcBorders>
            <w:vAlign w:val="center"/>
          </w:tcPr>
          <w:p w:rsidR="006916DC" w:rsidRPr="00CA6939" w:rsidRDefault="006916DC" w:rsidP="00CA6939">
            <w:pPr>
              <w:spacing w:before="80"/>
              <w:jc w:val="center"/>
            </w:pPr>
            <w:r w:rsidRPr="00CA6939">
              <w:t>4,6</w:t>
            </w:r>
          </w:p>
        </w:tc>
        <w:tc>
          <w:tcPr>
            <w:tcW w:w="1122" w:type="dxa"/>
            <w:tcBorders>
              <w:top w:val="nil"/>
              <w:left w:val="nil"/>
              <w:bottom w:val="single" w:sz="4" w:space="0" w:color="auto"/>
              <w:right w:val="nil"/>
            </w:tcBorders>
            <w:vAlign w:val="center"/>
          </w:tcPr>
          <w:p w:rsidR="006916DC" w:rsidRPr="00CA6939" w:rsidRDefault="006916DC" w:rsidP="00CA6939">
            <w:pPr>
              <w:spacing w:before="80"/>
              <w:jc w:val="center"/>
            </w:pPr>
            <w:r w:rsidRPr="00CA6939">
              <w:t>6,9</w:t>
            </w:r>
          </w:p>
        </w:tc>
        <w:tc>
          <w:tcPr>
            <w:tcW w:w="1308" w:type="dxa"/>
            <w:tcBorders>
              <w:top w:val="nil"/>
              <w:left w:val="nil"/>
              <w:bottom w:val="single" w:sz="4" w:space="0" w:color="auto"/>
              <w:right w:val="nil"/>
            </w:tcBorders>
            <w:vAlign w:val="center"/>
          </w:tcPr>
          <w:p w:rsidR="006916DC" w:rsidRPr="00CA6939" w:rsidRDefault="006916DC" w:rsidP="00CA6939">
            <w:pPr>
              <w:spacing w:before="80"/>
              <w:jc w:val="center"/>
            </w:pPr>
            <w:r w:rsidRPr="00CA6939">
              <w:t>7,2</w:t>
            </w:r>
          </w:p>
        </w:tc>
        <w:tc>
          <w:tcPr>
            <w:tcW w:w="1093" w:type="dxa"/>
            <w:tcBorders>
              <w:top w:val="nil"/>
              <w:left w:val="nil"/>
              <w:bottom w:val="single" w:sz="4" w:space="0" w:color="auto"/>
              <w:right w:val="nil"/>
            </w:tcBorders>
            <w:vAlign w:val="center"/>
          </w:tcPr>
          <w:p w:rsidR="006916DC" w:rsidRPr="00CA6939" w:rsidRDefault="006916DC" w:rsidP="00CA6939">
            <w:pPr>
              <w:spacing w:before="80"/>
              <w:jc w:val="center"/>
            </w:pPr>
            <w:r w:rsidRPr="00CA6939">
              <w:t>12,2</w:t>
            </w:r>
          </w:p>
        </w:tc>
        <w:tc>
          <w:tcPr>
            <w:tcW w:w="998" w:type="dxa"/>
            <w:tcBorders>
              <w:top w:val="nil"/>
              <w:left w:val="nil"/>
              <w:bottom w:val="single" w:sz="4" w:space="0" w:color="auto"/>
              <w:right w:val="nil"/>
            </w:tcBorders>
          </w:tcPr>
          <w:p w:rsidR="006916DC" w:rsidRPr="00CA6939" w:rsidRDefault="006916DC" w:rsidP="00CA6939">
            <w:pPr>
              <w:spacing w:before="80"/>
              <w:jc w:val="center"/>
            </w:pPr>
            <w:r w:rsidRPr="00CA6939">
              <w:t>10,2</w:t>
            </w:r>
          </w:p>
        </w:tc>
      </w:tr>
    </w:tbl>
    <w:p w:rsidR="006916DC" w:rsidRPr="00CA6939" w:rsidRDefault="006916DC" w:rsidP="00CA6939">
      <w:pPr>
        <w:spacing w:after="40"/>
      </w:pPr>
      <w:r w:rsidRPr="00CA6939">
        <w:rPr>
          <w:vertAlign w:val="superscript"/>
        </w:rPr>
        <w:t>(1)</w:t>
      </w:r>
      <w:r w:rsidRPr="00CA6939">
        <w:t>FV – fontes de variação; GL – graus de liberdade; ** – Significativo pelo teste F (p</w:t>
      </w:r>
      <w:r w:rsidRPr="00CA6939">
        <w:sym w:font="Symbol" w:char="F0A3"/>
      </w:r>
      <w:r w:rsidRPr="00CA6939">
        <w:t xml:space="preserve">0,01); CV – Coeficiente de variação. </w:t>
      </w:r>
      <w:r w:rsidRPr="00CA6939">
        <w:rPr>
          <w:vertAlign w:val="superscript"/>
        </w:rPr>
        <w:t>(2)</w:t>
      </w:r>
      <w:r w:rsidRPr="00CA6939">
        <w:t xml:space="preserve">AP (cm) e DC (mm). </w:t>
      </w:r>
    </w:p>
    <w:p w:rsidR="006916DC" w:rsidRPr="00CA6939" w:rsidRDefault="006916DC" w:rsidP="00CA6939"/>
    <w:p w:rsidR="006916DC" w:rsidRPr="00CA6939" w:rsidRDefault="006916DC" w:rsidP="00CA6939">
      <w:pPr>
        <w:ind w:firstLine="708"/>
      </w:pPr>
      <w:r w:rsidRPr="00CA6939">
        <w:t xml:space="preserve">A </w:t>
      </w:r>
      <w:r w:rsidR="00FD2E33">
        <w:t>F</w:t>
      </w:r>
      <w:r w:rsidRPr="00CA6939">
        <w:t xml:space="preserve">igura 1 apresenta o desdobramento da interação entre os fatores, esterco bovino e doses de manipueira, para as variáveis AP, NF e DC, aos 30 e 40 DAS. </w:t>
      </w:r>
    </w:p>
    <w:p w:rsidR="006916DC" w:rsidRPr="00CA6939" w:rsidRDefault="006916DC" w:rsidP="00CA6939">
      <w:pPr>
        <w:ind w:firstLine="708"/>
      </w:pPr>
      <w:r w:rsidRPr="00CA6939">
        <w:t xml:space="preserve">Observa-se que a AP apresentou crescimento linear com o aumento das doses de manipueira, na presença e ausência de esterco bovino, aos 30 (Figura 1A) e 40 DAS </w:t>
      </w:r>
      <w:r w:rsidRPr="00CA6939">
        <w:lastRenderedPageBreak/>
        <w:t xml:space="preserve">(Figura 1B). Duarte et al. (2012) observaram tendência quadrática para altura da alface cultivada sob diferentes doses de manipueira, atingindo o valor máximo com a aplicação de </w:t>
      </w:r>
      <w:smartTag w:uri="urn:schemas-microsoft-com:office:smarttags" w:element="metricconverter">
        <w:smartTagPr>
          <w:attr w:name="ProductID" w:val="45 mﾳ"/>
        </w:smartTagPr>
        <w:r w:rsidRPr="00CA6939">
          <w:t>45 m³</w:t>
        </w:r>
      </w:smartTag>
      <w:r w:rsidRPr="00CA6939">
        <w:t xml:space="preserve"> ha</w:t>
      </w:r>
      <w:r w:rsidRPr="00CA6939">
        <w:rPr>
          <w:vertAlign w:val="superscript"/>
        </w:rPr>
        <w:t>-1</w:t>
      </w:r>
      <w:r w:rsidRPr="00CA6939">
        <w:t xml:space="preserve">. Cardoso et al. (2017) observaram decréscimo linear na altura do coentro com o aumento das doses de biofertilizante preparado com materiais vegetais usando galhos, folhas e/ou raízes das espécies </w:t>
      </w:r>
      <w:r w:rsidRPr="00CA6939">
        <w:rPr>
          <w:i/>
        </w:rPr>
        <w:t>Flemingia macrophylla</w:t>
      </w:r>
      <w:r w:rsidRPr="00CA6939">
        <w:t xml:space="preserve">, </w:t>
      </w:r>
      <w:r w:rsidRPr="00CA6939">
        <w:rPr>
          <w:i/>
        </w:rPr>
        <w:t>Musa</w:t>
      </w:r>
      <w:r w:rsidRPr="00CA6939">
        <w:t xml:space="preserve"> sp. e </w:t>
      </w:r>
      <w:r w:rsidRPr="00CA6939">
        <w:rPr>
          <w:i/>
        </w:rPr>
        <w:t>Azolla</w:t>
      </w:r>
      <w:r w:rsidRPr="00CA6939">
        <w:t xml:space="preserve"> sp., com altura máxima de </w:t>
      </w:r>
      <w:smartTag w:uri="urn:schemas-microsoft-com:office:smarttags" w:element="metricconverter">
        <w:smartTagPr>
          <w:attr w:name="ProductID" w:val="31,08 cm"/>
        </w:smartTagPr>
        <w:r w:rsidRPr="00CA6939">
          <w:t>31,08 cm</w:t>
        </w:r>
      </w:smartTag>
      <w:r w:rsidRPr="00CA6939">
        <w:t xml:space="preserve"> aos 40 DAS, reduzindo cerca de </w:t>
      </w:r>
      <w:smartTag w:uri="urn:schemas-microsoft-com:office:smarttags" w:element="metricconverter">
        <w:smartTagPr>
          <w:attr w:name="ProductID" w:val="2,5 cm"/>
        </w:smartTagPr>
        <w:r w:rsidRPr="00CA6939">
          <w:t>2,5 cm</w:t>
        </w:r>
      </w:smartTag>
      <w:r w:rsidRPr="00CA6939">
        <w:t xml:space="preserve"> a cada 10 % de biofertilizante acrescido.</w:t>
      </w:r>
    </w:p>
    <w:p w:rsidR="00D142DC" w:rsidRDefault="00D142DC" w:rsidP="00CA6939">
      <w:pPr>
        <w:pStyle w:val="Figura"/>
        <w:spacing w:line="360" w:lineRule="auto"/>
        <w:rPr>
          <w:b/>
        </w:rPr>
      </w:pPr>
      <w:bookmarkStart w:id="10" w:name="_Toc38211989"/>
    </w:p>
    <w:p w:rsidR="006916DC" w:rsidRPr="00CA6939" w:rsidRDefault="006916DC" w:rsidP="00CA6939">
      <w:pPr>
        <w:pStyle w:val="Figura"/>
        <w:spacing w:line="360" w:lineRule="auto"/>
      </w:pPr>
      <w:r w:rsidRPr="00CA6939">
        <w:rPr>
          <w:b/>
        </w:rPr>
        <w:t>Figura 1</w:t>
      </w:r>
      <w:r w:rsidR="0063398D">
        <w:t xml:space="preserve"> </w:t>
      </w:r>
      <w:r w:rsidR="0063398D" w:rsidRPr="0063398D">
        <w:rPr>
          <w:b/>
        </w:rPr>
        <w:t>–</w:t>
      </w:r>
      <w:r w:rsidRPr="00CA6939">
        <w:t xml:space="preserve"> Desdobramento da interação em função das doses de manipueira na ausência (Y</w:t>
      </w:r>
      <w:r w:rsidRPr="00CA6939">
        <w:rPr>
          <w:vertAlign w:val="subscript"/>
        </w:rPr>
        <w:t>1</w:t>
      </w:r>
      <w:r w:rsidRPr="00CA6939">
        <w:t>) e na presença (Y</w:t>
      </w:r>
      <w:r w:rsidRPr="00CA6939">
        <w:rPr>
          <w:vertAlign w:val="subscript"/>
        </w:rPr>
        <w:t>2</w:t>
      </w:r>
      <w:r w:rsidRPr="00CA6939">
        <w:t>) de esterco bovino para as variáveis: altura da planta, número de folhas e diâmetro do caule do coentro ‘Verdão’ aos 30 (A, C, E) e 40 (B, D, F) dias após a semeadura (DAS), em Cruz das Almas-BA, 2019.</w:t>
      </w:r>
      <w:bookmarkEnd w:id="10"/>
    </w:p>
    <w:tbl>
      <w:tblPr>
        <w:tblW w:w="0" w:type="auto"/>
        <w:tblLook w:val="04A0" w:firstRow="1" w:lastRow="0" w:firstColumn="1" w:lastColumn="0" w:noHBand="0" w:noVBand="1"/>
      </w:tblPr>
      <w:tblGrid>
        <w:gridCol w:w="4238"/>
        <w:gridCol w:w="4266"/>
      </w:tblGrid>
      <w:tr w:rsidR="006916DC" w:rsidRPr="00CA6939" w:rsidTr="006155BD">
        <w:tc>
          <w:tcPr>
            <w:tcW w:w="4516" w:type="dxa"/>
          </w:tcPr>
          <w:p w:rsidR="006916DC" w:rsidRPr="00CA6939" w:rsidRDefault="006916DC" w:rsidP="00CA6939">
            <w:r w:rsidRPr="00CA6939">
              <w:t>A.</w:t>
            </w:r>
          </w:p>
        </w:tc>
        <w:tc>
          <w:tcPr>
            <w:tcW w:w="4545" w:type="dxa"/>
          </w:tcPr>
          <w:p w:rsidR="006916DC" w:rsidRPr="00CA6939" w:rsidRDefault="006916DC" w:rsidP="00CA6939">
            <w:r w:rsidRPr="00CA6939">
              <w:t>B.</w:t>
            </w:r>
          </w:p>
        </w:tc>
      </w:tr>
      <w:tr w:rsidR="006916DC" w:rsidRPr="00CA6939" w:rsidTr="006155BD">
        <w:tc>
          <w:tcPr>
            <w:tcW w:w="4516" w:type="dxa"/>
            <w:tcMar>
              <w:top w:w="0" w:type="dxa"/>
              <w:left w:w="70" w:type="dxa"/>
              <w:bottom w:w="0" w:type="dxa"/>
              <w:right w:w="70" w:type="dxa"/>
            </w:tcMar>
          </w:tcPr>
          <w:p w:rsidR="006916DC" w:rsidRPr="00CA6939" w:rsidRDefault="006916DC" w:rsidP="00CA6939">
            <w:r w:rsidRPr="00CA6939">
              <w:rPr>
                <w:noProof/>
                <w:lang w:eastAsia="pt-BR"/>
              </w:rPr>
              <w:drawing>
                <wp:inline distT="0" distB="0" distL="0" distR="0">
                  <wp:extent cx="2830830" cy="2120900"/>
                  <wp:effectExtent l="0" t="0" r="762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0830" cy="2120900"/>
                          </a:xfrm>
                          <a:prstGeom prst="rect">
                            <a:avLst/>
                          </a:prstGeom>
                          <a:noFill/>
                          <a:ln>
                            <a:noFill/>
                          </a:ln>
                        </pic:spPr>
                      </pic:pic>
                    </a:graphicData>
                  </a:graphic>
                </wp:inline>
              </w:drawing>
            </w:r>
          </w:p>
        </w:tc>
        <w:tc>
          <w:tcPr>
            <w:tcW w:w="4545" w:type="dxa"/>
            <w:tcMar>
              <w:top w:w="0" w:type="dxa"/>
              <w:left w:w="70" w:type="dxa"/>
              <w:bottom w:w="0" w:type="dxa"/>
              <w:right w:w="70" w:type="dxa"/>
            </w:tcMar>
          </w:tcPr>
          <w:p w:rsidR="006916DC" w:rsidRPr="00CA6939" w:rsidRDefault="006916DC" w:rsidP="00CA6939">
            <w:r w:rsidRPr="00CA6939">
              <w:rPr>
                <w:noProof/>
                <w:lang w:eastAsia="pt-BR"/>
              </w:rPr>
              <w:drawing>
                <wp:inline distT="0" distB="0" distL="0" distR="0">
                  <wp:extent cx="2840355" cy="212090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0355" cy="2120900"/>
                          </a:xfrm>
                          <a:prstGeom prst="rect">
                            <a:avLst/>
                          </a:prstGeom>
                          <a:noFill/>
                          <a:ln>
                            <a:noFill/>
                          </a:ln>
                        </pic:spPr>
                      </pic:pic>
                    </a:graphicData>
                  </a:graphic>
                </wp:inline>
              </w:drawing>
            </w:r>
          </w:p>
        </w:tc>
      </w:tr>
      <w:tr w:rsidR="006916DC" w:rsidRPr="00CA6939" w:rsidTr="006155BD">
        <w:tc>
          <w:tcPr>
            <w:tcW w:w="4516" w:type="dxa"/>
          </w:tcPr>
          <w:p w:rsidR="006916DC" w:rsidRPr="00CA6939" w:rsidRDefault="006916DC" w:rsidP="00CA6939">
            <w:r w:rsidRPr="00CA6939">
              <w:t>C.</w:t>
            </w:r>
          </w:p>
        </w:tc>
        <w:tc>
          <w:tcPr>
            <w:tcW w:w="4545" w:type="dxa"/>
          </w:tcPr>
          <w:p w:rsidR="006916DC" w:rsidRPr="00CA6939" w:rsidRDefault="006916DC" w:rsidP="00CA6939">
            <w:r w:rsidRPr="00CA6939">
              <w:t>D.</w:t>
            </w:r>
          </w:p>
        </w:tc>
      </w:tr>
      <w:tr w:rsidR="006916DC" w:rsidRPr="00CA6939" w:rsidTr="006155BD">
        <w:tc>
          <w:tcPr>
            <w:tcW w:w="4516" w:type="dxa"/>
            <w:tcMar>
              <w:top w:w="0" w:type="dxa"/>
              <w:left w:w="70" w:type="dxa"/>
              <w:bottom w:w="0" w:type="dxa"/>
              <w:right w:w="70" w:type="dxa"/>
            </w:tcMar>
          </w:tcPr>
          <w:p w:rsidR="006916DC" w:rsidRPr="00CA6939" w:rsidRDefault="006916DC" w:rsidP="00CA6939">
            <w:r w:rsidRPr="00CA6939">
              <w:rPr>
                <w:noProof/>
                <w:lang w:eastAsia="pt-BR"/>
              </w:rPr>
              <w:drawing>
                <wp:inline distT="0" distB="0" distL="0" distR="0">
                  <wp:extent cx="2830830" cy="2120900"/>
                  <wp:effectExtent l="0" t="0" r="762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2120900"/>
                          </a:xfrm>
                          <a:prstGeom prst="rect">
                            <a:avLst/>
                          </a:prstGeom>
                          <a:noFill/>
                          <a:ln>
                            <a:noFill/>
                          </a:ln>
                        </pic:spPr>
                      </pic:pic>
                    </a:graphicData>
                  </a:graphic>
                </wp:inline>
              </w:drawing>
            </w:r>
          </w:p>
        </w:tc>
        <w:tc>
          <w:tcPr>
            <w:tcW w:w="4545" w:type="dxa"/>
            <w:tcMar>
              <w:top w:w="0" w:type="dxa"/>
              <w:left w:w="70" w:type="dxa"/>
              <w:bottom w:w="0" w:type="dxa"/>
              <w:right w:w="70" w:type="dxa"/>
            </w:tcMar>
          </w:tcPr>
          <w:p w:rsidR="006916DC" w:rsidRPr="00CA6939" w:rsidRDefault="006916DC" w:rsidP="00CA6939">
            <w:r w:rsidRPr="00CA6939">
              <w:rPr>
                <w:noProof/>
                <w:lang w:eastAsia="pt-BR"/>
              </w:rPr>
              <w:drawing>
                <wp:inline distT="0" distB="0" distL="0" distR="0">
                  <wp:extent cx="2850515" cy="212090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0515" cy="2120900"/>
                          </a:xfrm>
                          <a:prstGeom prst="rect">
                            <a:avLst/>
                          </a:prstGeom>
                          <a:noFill/>
                          <a:ln>
                            <a:noFill/>
                          </a:ln>
                        </pic:spPr>
                      </pic:pic>
                    </a:graphicData>
                  </a:graphic>
                </wp:inline>
              </w:drawing>
            </w:r>
          </w:p>
        </w:tc>
      </w:tr>
      <w:tr w:rsidR="006916DC" w:rsidRPr="00CA6939" w:rsidTr="006155BD">
        <w:tc>
          <w:tcPr>
            <w:tcW w:w="4516" w:type="dxa"/>
          </w:tcPr>
          <w:p w:rsidR="006916DC" w:rsidRPr="00CA6939" w:rsidRDefault="006916DC" w:rsidP="00CA6939">
            <w:r w:rsidRPr="00CA6939">
              <w:t>E.</w:t>
            </w:r>
          </w:p>
        </w:tc>
        <w:tc>
          <w:tcPr>
            <w:tcW w:w="4545" w:type="dxa"/>
          </w:tcPr>
          <w:p w:rsidR="006916DC" w:rsidRPr="00CA6939" w:rsidRDefault="006916DC" w:rsidP="00CA6939">
            <w:r w:rsidRPr="00CA6939">
              <w:t>F.</w:t>
            </w:r>
          </w:p>
        </w:tc>
      </w:tr>
      <w:tr w:rsidR="006916DC" w:rsidRPr="00CA6939" w:rsidTr="006155BD">
        <w:tc>
          <w:tcPr>
            <w:tcW w:w="4516" w:type="dxa"/>
            <w:tcMar>
              <w:top w:w="0" w:type="dxa"/>
              <w:left w:w="70" w:type="dxa"/>
              <w:bottom w:w="0" w:type="dxa"/>
              <w:right w:w="70" w:type="dxa"/>
            </w:tcMar>
          </w:tcPr>
          <w:p w:rsidR="006916DC" w:rsidRPr="00CA6939" w:rsidRDefault="006916DC" w:rsidP="00CA6939">
            <w:r w:rsidRPr="00CA6939">
              <w:rPr>
                <w:noProof/>
                <w:lang w:eastAsia="pt-BR"/>
              </w:rPr>
              <w:lastRenderedPageBreak/>
              <w:drawing>
                <wp:inline distT="0" distB="0" distL="0" distR="0">
                  <wp:extent cx="2830830" cy="2120900"/>
                  <wp:effectExtent l="0" t="0" r="762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0830" cy="2120900"/>
                          </a:xfrm>
                          <a:prstGeom prst="rect">
                            <a:avLst/>
                          </a:prstGeom>
                          <a:noFill/>
                          <a:ln>
                            <a:noFill/>
                          </a:ln>
                        </pic:spPr>
                      </pic:pic>
                    </a:graphicData>
                  </a:graphic>
                </wp:inline>
              </w:drawing>
            </w:r>
          </w:p>
        </w:tc>
        <w:tc>
          <w:tcPr>
            <w:tcW w:w="4545" w:type="dxa"/>
            <w:tcMar>
              <w:top w:w="0" w:type="dxa"/>
              <w:left w:w="70" w:type="dxa"/>
              <w:bottom w:w="0" w:type="dxa"/>
              <w:right w:w="70" w:type="dxa"/>
            </w:tcMar>
          </w:tcPr>
          <w:p w:rsidR="006916DC" w:rsidRPr="00CA6939" w:rsidRDefault="006916DC" w:rsidP="00CA6939">
            <w:r w:rsidRPr="00CA6939">
              <w:rPr>
                <w:noProof/>
                <w:lang w:eastAsia="pt-BR"/>
              </w:rPr>
              <w:drawing>
                <wp:inline distT="0" distB="0" distL="0" distR="0">
                  <wp:extent cx="2850515" cy="2120900"/>
                  <wp:effectExtent l="0" t="0" r="698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0515" cy="2120900"/>
                          </a:xfrm>
                          <a:prstGeom prst="rect">
                            <a:avLst/>
                          </a:prstGeom>
                          <a:noFill/>
                          <a:ln>
                            <a:noFill/>
                          </a:ln>
                        </pic:spPr>
                      </pic:pic>
                    </a:graphicData>
                  </a:graphic>
                </wp:inline>
              </w:drawing>
            </w:r>
          </w:p>
        </w:tc>
      </w:tr>
    </w:tbl>
    <w:p w:rsidR="006916DC" w:rsidRPr="00CA6939" w:rsidRDefault="006916DC" w:rsidP="00CA6939">
      <w:pPr>
        <w:ind w:firstLine="708"/>
      </w:pPr>
    </w:p>
    <w:p w:rsidR="006916DC" w:rsidRPr="00CA6939" w:rsidRDefault="006916DC" w:rsidP="00CA6939">
      <w:pPr>
        <w:ind w:firstLine="708"/>
      </w:pPr>
      <w:r w:rsidRPr="00CA6939">
        <w:t xml:space="preserve">O NF aumentou linearmente com o incremento das doses de manipueira aos 30 DAS (Figura </w:t>
      </w:r>
      <w:smartTag w:uri="urn:schemas-microsoft-com:office:smarttags" w:element="metricconverter">
        <w:smartTagPr>
          <w:attr w:name="ProductID" w:val="1C"/>
        </w:smartTagPr>
        <w:r w:rsidRPr="00CA6939">
          <w:t>1C</w:t>
        </w:r>
      </w:smartTag>
      <w:r w:rsidRPr="00CA6939">
        <w:t xml:space="preserve">), na ausência e presença de esterco bovino. Aos 40 DAS apresentou tendência quadrática para os tratamentos na presença de esterco bovino (Figura 1D), com a dose ideal equivalente a </w:t>
      </w:r>
      <w:smartTag w:uri="urn:schemas-microsoft-com:office:smarttags" w:element="metricconverter">
        <w:smartTagPr>
          <w:attr w:name="ProductID" w:val="35 mﾳ"/>
        </w:smartTagPr>
        <w:r w:rsidRPr="00CA6939">
          <w:t>35 m³</w:t>
        </w:r>
      </w:smartTag>
      <w:r w:rsidRPr="00CA6939">
        <w:t xml:space="preserve"> ha</w:t>
      </w:r>
      <w:r w:rsidRPr="00CA6939">
        <w:rPr>
          <w:vertAlign w:val="superscript"/>
        </w:rPr>
        <w:t>-1</w:t>
      </w:r>
      <w:r w:rsidRPr="00CA6939">
        <w:t xml:space="preserve"> de manipueira, para o máximo de 43 folhas, conforme derivada da equação ajustada. Duarte et al. (2012) constaram comportamento quadrático para o NF de alface, com dose ideal de </w:t>
      </w:r>
      <w:smartTag w:uri="urn:schemas-microsoft-com:office:smarttags" w:element="metricconverter">
        <w:smartTagPr>
          <w:attr w:name="ProductID" w:val="45 mﾳ"/>
        </w:smartTagPr>
        <w:r w:rsidRPr="00CA6939">
          <w:t>45 m³</w:t>
        </w:r>
      </w:smartTag>
      <w:r w:rsidRPr="00CA6939">
        <w:t xml:space="preserve"> ha</w:t>
      </w:r>
      <w:r w:rsidRPr="00CA6939">
        <w:rPr>
          <w:vertAlign w:val="superscript"/>
        </w:rPr>
        <w:t>-1</w:t>
      </w:r>
      <w:r w:rsidRPr="00CA6939">
        <w:t xml:space="preserve"> de manipueira. A rúcula também foi influenciada por diferentes doses de manipueira, proporcionando um número máximo de folhas com aplicação de 600 mL m</w:t>
      </w:r>
      <w:r w:rsidRPr="00CA6939">
        <w:rPr>
          <w:vertAlign w:val="superscript"/>
        </w:rPr>
        <w:t>-2</w:t>
      </w:r>
      <w:r w:rsidRPr="00CA6939">
        <w:t>, (</w:t>
      </w:r>
      <w:smartTag w:uri="urn:schemas-microsoft-com:office:smarttags" w:element="metricconverter">
        <w:smartTagPr>
          <w:attr w:name="ProductID" w:val="6 m3"/>
        </w:smartTagPr>
        <w:r w:rsidRPr="00CA6939">
          <w:t>6 m</w:t>
        </w:r>
        <w:r w:rsidRPr="00CA6939">
          <w:rPr>
            <w:vertAlign w:val="superscript"/>
          </w:rPr>
          <w:t>3</w:t>
        </w:r>
      </w:smartTag>
      <w:r w:rsidRPr="00CA6939">
        <w:t xml:space="preserve"> ha</w:t>
      </w:r>
      <w:r w:rsidRPr="00CA6939">
        <w:rPr>
          <w:vertAlign w:val="superscript"/>
        </w:rPr>
        <w:t>-1</w:t>
      </w:r>
      <w:r w:rsidRPr="00CA6939">
        <w:t xml:space="preserve">) reduzindo com as doses subsequentes (900 e 1200 mL, correspondentes a 9 e </w:t>
      </w:r>
      <w:smartTag w:uri="urn:schemas-microsoft-com:office:smarttags" w:element="metricconverter">
        <w:smartTagPr>
          <w:attr w:name="ProductID" w:val="12 m3"/>
        </w:smartTagPr>
        <w:r w:rsidRPr="00CA6939">
          <w:t>12 m</w:t>
        </w:r>
        <w:r w:rsidRPr="00CA6939">
          <w:rPr>
            <w:vertAlign w:val="superscript"/>
          </w:rPr>
          <w:t>3</w:t>
        </w:r>
      </w:smartTag>
      <w:r w:rsidRPr="00CA6939">
        <w:t xml:space="preserve"> ha</w:t>
      </w:r>
      <w:r w:rsidRPr="00CA6939">
        <w:rPr>
          <w:vertAlign w:val="superscript"/>
        </w:rPr>
        <w:t>-1</w:t>
      </w:r>
      <w:r w:rsidRPr="00CA6939">
        <w:t>) (BEZERRA; BEZERRA, 2016).</w:t>
      </w:r>
    </w:p>
    <w:p w:rsidR="006916DC" w:rsidRPr="00CA6939" w:rsidRDefault="006916DC" w:rsidP="00CA6939">
      <w:r w:rsidRPr="00CA6939">
        <w:tab/>
        <w:t xml:space="preserve">O DC seguiu tendência linear aos 30 DAS (Figura 1E), na ausência e presença de esterco bovino, e quadrática aos 40 DAS (Figura </w:t>
      </w:r>
      <w:smartTag w:uri="urn:schemas-microsoft-com:office:smarttags" w:element="metricconverter">
        <w:smartTagPr>
          <w:attr w:name="ProductID" w:val="1F"/>
        </w:smartTagPr>
        <w:r w:rsidRPr="00CA6939">
          <w:t>1F</w:t>
        </w:r>
      </w:smartTag>
      <w:r w:rsidRPr="00CA6939">
        <w:t xml:space="preserve">) para o tratamento com adição de esterco bovino. A derivada da equação estimou a dose ideal equivalente a </w:t>
      </w:r>
      <w:smartTag w:uri="urn:schemas-microsoft-com:office:smarttags" w:element="metricconverter">
        <w:smartTagPr>
          <w:attr w:name="ProductID" w:val="40 mﾳ"/>
        </w:smartTagPr>
        <w:r w:rsidRPr="00CA6939">
          <w:t>40 m³</w:t>
        </w:r>
      </w:smartTag>
      <w:r w:rsidRPr="00CA6939">
        <w:t xml:space="preserve"> ha</w:t>
      </w:r>
      <w:r w:rsidRPr="00CA6939">
        <w:rPr>
          <w:vertAlign w:val="superscript"/>
        </w:rPr>
        <w:t>-1</w:t>
      </w:r>
      <w:r w:rsidRPr="00CA6939">
        <w:t xml:space="preserve"> de manipueira, para o DC máximo de </w:t>
      </w:r>
      <w:smartTag w:uri="urn:schemas-microsoft-com:office:smarttags" w:element="metricconverter">
        <w:smartTagPr>
          <w:attr w:name="ProductID" w:val="4,7 mm"/>
        </w:smartTagPr>
        <w:r w:rsidRPr="00CA6939">
          <w:t>4,7 mm</w:t>
        </w:r>
      </w:smartTag>
      <w:r w:rsidRPr="00CA6939">
        <w:t xml:space="preserve">. Araújo et al. (2017), ao utilizar manipueira (114 e 228 mL) na fertirrigação da alface, obtiveram respostas satisfatórias para a variável diâmetro do caule. Na cultura do milho, as diferentes doses (0; 11,2; 22,4 e </w:t>
      </w:r>
      <w:smartTag w:uri="urn:schemas-microsoft-com:office:smarttags" w:element="metricconverter">
        <w:smartTagPr>
          <w:attr w:name="ProductID" w:val="44,8 m3"/>
        </w:smartTagPr>
        <w:r w:rsidRPr="00CA6939">
          <w:t>44,8 m</w:t>
        </w:r>
        <w:r w:rsidRPr="00CA6939">
          <w:rPr>
            <w:vertAlign w:val="superscript"/>
          </w:rPr>
          <w:t>3</w:t>
        </w:r>
      </w:smartTag>
      <w:r w:rsidRPr="00CA6939">
        <w:t xml:space="preserve"> ha</w:t>
      </w:r>
      <w:r w:rsidRPr="00CA6939">
        <w:rPr>
          <w:vertAlign w:val="superscript"/>
        </w:rPr>
        <w:t>-1</w:t>
      </w:r>
      <w:r w:rsidRPr="00CA6939">
        <w:t xml:space="preserve">) de manipueira avaliadas não apresentaram efeito significativo no diâmetro do caule (BARRETO et al., 2014). </w:t>
      </w:r>
    </w:p>
    <w:p w:rsidR="006916DC" w:rsidRPr="00CA6939" w:rsidRDefault="006916DC" w:rsidP="00CA6939">
      <w:pPr>
        <w:ind w:firstLine="708"/>
      </w:pPr>
      <w:r w:rsidRPr="00CA6939">
        <w:t>Com relação às variáveis área foliar (AF), taxa de crescimento absoluto (TCA), massa fresca da parte aérea (MFPA), massa seca da parte aérea (MSPA), a análise de variância mostrou efeito significativo (p</w:t>
      </w:r>
      <w:r w:rsidRPr="00CA6939">
        <w:sym w:font="Symbol" w:char="F0A3"/>
      </w:r>
      <w:r w:rsidRPr="00CA6939">
        <w:t xml:space="preserve">0,01) para os fatores esterco e manipueira, isoladamente, e para a interação, neste caso exceto para TCA. Para as variáveis taxa de </w:t>
      </w:r>
      <w:r w:rsidRPr="00CA6939">
        <w:lastRenderedPageBreak/>
        <w:t>crescimento relativo (TCR) e suculência da parte aérea (SCPA) foi significativa apenas a aplicação de manipueira (Tabela 4).</w:t>
      </w:r>
    </w:p>
    <w:p w:rsidR="006916DC" w:rsidRPr="00CA6939" w:rsidRDefault="006916DC" w:rsidP="00CA6939"/>
    <w:p w:rsidR="006916DC" w:rsidRPr="00CA6939" w:rsidRDefault="006916DC" w:rsidP="00CA6939">
      <w:pPr>
        <w:pStyle w:val="Tabela"/>
        <w:spacing w:line="360" w:lineRule="auto"/>
      </w:pPr>
      <w:bookmarkStart w:id="11" w:name="_Toc38211750"/>
      <w:r w:rsidRPr="0063398D">
        <w:rPr>
          <w:b/>
        </w:rPr>
        <w:t>Tabela 4</w:t>
      </w:r>
      <w:r w:rsidR="0063398D">
        <w:t xml:space="preserve"> </w:t>
      </w:r>
      <w:r w:rsidR="0063398D" w:rsidRPr="0063398D">
        <w:rPr>
          <w:b/>
        </w:rPr>
        <w:t>–</w:t>
      </w:r>
      <w:r w:rsidRPr="00CA6939">
        <w:t xml:space="preserve"> Resumo da análise de variância com os respectivos quadrados médios para as variáveis área foliar (AF), taxa de crescimento absoluto (TCA), taxa de crescimento relativo (TCR), massa fresca da parte aérea (MFPA), massa seca da parte aérea (MSPA) e suculência da parte aérea (SCPA) do coentro ‘Verdão’ cultivado sob doses de manipueira na presença e ausência de esterco bovino, aos 40 dias após a semeadura (DAS), em Cruz das Almas-BA, 2019.</w:t>
      </w:r>
      <w:bookmarkEnd w:id="11"/>
    </w:p>
    <w:tbl>
      <w:tblPr>
        <w:tblW w:w="9420" w:type="dxa"/>
        <w:jc w:val="center"/>
        <w:tblBorders>
          <w:top w:val="single" w:sz="4" w:space="0" w:color="auto"/>
          <w:bottom w:val="single" w:sz="4" w:space="0" w:color="auto"/>
        </w:tblBorders>
        <w:tblLayout w:type="fixed"/>
        <w:tblLook w:val="00A0" w:firstRow="1" w:lastRow="0" w:firstColumn="1" w:lastColumn="0" w:noHBand="0" w:noVBand="0"/>
      </w:tblPr>
      <w:tblGrid>
        <w:gridCol w:w="1728"/>
        <w:gridCol w:w="560"/>
        <w:gridCol w:w="1753"/>
        <w:gridCol w:w="973"/>
        <w:gridCol w:w="973"/>
        <w:gridCol w:w="1133"/>
        <w:gridCol w:w="1177"/>
        <w:gridCol w:w="1123"/>
      </w:tblGrid>
      <w:tr w:rsidR="006916DC" w:rsidRPr="00CA6939" w:rsidTr="00D142DC">
        <w:trPr>
          <w:trHeight w:val="304"/>
          <w:jc w:val="center"/>
        </w:trPr>
        <w:tc>
          <w:tcPr>
            <w:tcW w:w="1728" w:type="dxa"/>
            <w:tcBorders>
              <w:top w:val="single" w:sz="4" w:space="0" w:color="auto"/>
              <w:left w:val="nil"/>
              <w:bottom w:val="single" w:sz="4" w:space="0" w:color="auto"/>
              <w:right w:val="nil"/>
            </w:tcBorders>
            <w:vAlign w:val="center"/>
          </w:tcPr>
          <w:p w:rsidR="006916DC" w:rsidRPr="00CA6939" w:rsidRDefault="006916DC" w:rsidP="00CA6939">
            <w:pPr>
              <w:spacing w:before="40"/>
              <w:jc w:val="center"/>
              <w:rPr>
                <w:vertAlign w:val="superscript"/>
              </w:rPr>
            </w:pPr>
            <w:r w:rsidRPr="00CA6939">
              <w:t>FV</w:t>
            </w:r>
            <w:r w:rsidRPr="00CA6939">
              <w:rPr>
                <w:vertAlign w:val="superscript"/>
              </w:rPr>
              <w:t>(1)</w:t>
            </w:r>
          </w:p>
        </w:tc>
        <w:tc>
          <w:tcPr>
            <w:tcW w:w="560" w:type="dxa"/>
            <w:tcBorders>
              <w:top w:val="single" w:sz="4" w:space="0" w:color="auto"/>
              <w:left w:val="nil"/>
              <w:bottom w:val="single" w:sz="4" w:space="0" w:color="auto"/>
              <w:right w:val="nil"/>
            </w:tcBorders>
            <w:vAlign w:val="center"/>
          </w:tcPr>
          <w:p w:rsidR="006916DC" w:rsidRPr="00CA6939" w:rsidRDefault="006916DC" w:rsidP="00CA6939">
            <w:pPr>
              <w:spacing w:before="40"/>
              <w:jc w:val="center"/>
            </w:pPr>
            <w:r w:rsidRPr="00CA6939">
              <w:t>GL</w:t>
            </w:r>
          </w:p>
        </w:tc>
        <w:tc>
          <w:tcPr>
            <w:tcW w:w="1753" w:type="dxa"/>
            <w:tcBorders>
              <w:top w:val="single" w:sz="4" w:space="0" w:color="auto"/>
              <w:left w:val="nil"/>
              <w:bottom w:val="single" w:sz="4" w:space="0" w:color="auto"/>
              <w:right w:val="nil"/>
            </w:tcBorders>
            <w:vAlign w:val="center"/>
          </w:tcPr>
          <w:p w:rsidR="006916DC" w:rsidRPr="00CA6939" w:rsidRDefault="006916DC" w:rsidP="00CA6939">
            <w:pPr>
              <w:spacing w:before="40"/>
              <w:jc w:val="center"/>
            </w:pPr>
            <w:r w:rsidRPr="00CA6939">
              <w:t>AF</w:t>
            </w:r>
            <w:r w:rsidRPr="00CA6939">
              <w:rPr>
                <w:vertAlign w:val="superscript"/>
              </w:rPr>
              <w:t>(2)</w:t>
            </w:r>
          </w:p>
        </w:tc>
        <w:tc>
          <w:tcPr>
            <w:tcW w:w="973" w:type="dxa"/>
            <w:tcBorders>
              <w:top w:val="single" w:sz="4" w:space="0" w:color="auto"/>
              <w:left w:val="nil"/>
              <w:bottom w:val="single" w:sz="4" w:space="0" w:color="auto"/>
              <w:right w:val="nil"/>
            </w:tcBorders>
            <w:vAlign w:val="center"/>
          </w:tcPr>
          <w:p w:rsidR="006916DC" w:rsidRPr="00CA6939" w:rsidRDefault="006916DC" w:rsidP="00CA6939">
            <w:pPr>
              <w:spacing w:before="40"/>
              <w:jc w:val="center"/>
            </w:pPr>
            <w:r w:rsidRPr="00CA6939">
              <w:t>TCA</w:t>
            </w:r>
            <w:r w:rsidRPr="00CA6939">
              <w:rPr>
                <w:vertAlign w:val="superscript"/>
              </w:rPr>
              <w:t>(3)</w:t>
            </w:r>
          </w:p>
        </w:tc>
        <w:tc>
          <w:tcPr>
            <w:tcW w:w="973" w:type="dxa"/>
            <w:tcBorders>
              <w:top w:val="single" w:sz="4" w:space="0" w:color="auto"/>
              <w:left w:val="nil"/>
              <w:bottom w:val="single" w:sz="4" w:space="0" w:color="auto"/>
              <w:right w:val="nil"/>
            </w:tcBorders>
            <w:vAlign w:val="center"/>
          </w:tcPr>
          <w:p w:rsidR="006916DC" w:rsidRPr="00CA6939" w:rsidRDefault="006916DC" w:rsidP="00CA6939">
            <w:pPr>
              <w:spacing w:before="40"/>
              <w:jc w:val="center"/>
            </w:pPr>
            <w:r w:rsidRPr="00CA6939">
              <w:t>TCR</w:t>
            </w:r>
            <w:r w:rsidRPr="00CA6939">
              <w:rPr>
                <w:vertAlign w:val="superscript"/>
              </w:rPr>
              <w:t>(3)</w:t>
            </w:r>
          </w:p>
        </w:tc>
        <w:tc>
          <w:tcPr>
            <w:tcW w:w="1133" w:type="dxa"/>
            <w:tcBorders>
              <w:top w:val="single" w:sz="4" w:space="0" w:color="auto"/>
              <w:left w:val="nil"/>
              <w:bottom w:val="single" w:sz="4" w:space="0" w:color="auto"/>
              <w:right w:val="nil"/>
            </w:tcBorders>
            <w:vAlign w:val="center"/>
          </w:tcPr>
          <w:p w:rsidR="006916DC" w:rsidRPr="00CA6939" w:rsidRDefault="006916DC" w:rsidP="00CA6939">
            <w:pPr>
              <w:spacing w:before="40"/>
              <w:jc w:val="center"/>
            </w:pPr>
            <w:r w:rsidRPr="00CA6939">
              <w:t>MFPA</w:t>
            </w:r>
            <w:r w:rsidRPr="00CA6939">
              <w:rPr>
                <w:vertAlign w:val="superscript"/>
              </w:rPr>
              <w:t>(2)</w:t>
            </w:r>
          </w:p>
        </w:tc>
        <w:tc>
          <w:tcPr>
            <w:tcW w:w="1177" w:type="dxa"/>
            <w:tcBorders>
              <w:top w:val="single" w:sz="4" w:space="0" w:color="auto"/>
              <w:left w:val="nil"/>
              <w:bottom w:val="single" w:sz="4" w:space="0" w:color="auto"/>
              <w:right w:val="nil"/>
            </w:tcBorders>
            <w:vAlign w:val="center"/>
          </w:tcPr>
          <w:p w:rsidR="006916DC" w:rsidRPr="00CA6939" w:rsidRDefault="006916DC" w:rsidP="00CA6939">
            <w:pPr>
              <w:spacing w:before="40"/>
              <w:jc w:val="center"/>
            </w:pPr>
            <w:r w:rsidRPr="00CA6939">
              <w:t>MSPA</w:t>
            </w:r>
            <w:r w:rsidRPr="00CA6939">
              <w:rPr>
                <w:vertAlign w:val="superscript"/>
              </w:rPr>
              <w:t>(2)</w:t>
            </w:r>
          </w:p>
        </w:tc>
        <w:tc>
          <w:tcPr>
            <w:tcW w:w="1123" w:type="dxa"/>
            <w:tcBorders>
              <w:top w:val="single" w:sz="4" w:space="0" w:color="auto"/>
              <w:left w:val="nil"/>
              <w:bottom w:val="single" w:sz="4" w:space="0" w:color="auto"/>
              <w:right w:val="nil"/>
            </w:tcBorders>
            <w:vAlign w:val="center"/>
          </w:tcPr>
          <w:p w:rsidR="006916DC" w:rsidRPr="00CA6939" w:rsidRDefault="006916DC" w:rsidP="00CA6939">
            <w:pPr>
              <w:spacing w:before="40"/>
              <w:jc w:val="center"/>
            </w:pPr>
            <w:r w:rsidRPr="00CA6939">
              <w:t>SCPA</w:t>
            </w:r>
            <w:r w:rsidRPr="00CA6939">
              <w:rPr>
                <w:vertAlign w:val="superscript"/>
              </w:rPr>
              <w:t>(2)</w:t>
            </w:r>
          </w:p>
        </w:tc>
      </w:tr>
      <w:tr w:rsidR="006916DC" w:rsidRPr="00CA6939" w:rsidTr="00D142DC">
        <w:trPr>
          <w:trHeight w:val="304"/>
          <w:jc w:val="center"/>
        </w:trPr>
        <w:tc>
          <w:tcPr>
            <w:tcW w:w="1728" w:type="dxa"/>
            <w:tcBorders>
              <w:top w:val="single" w:sz="4" w:space="0" w:color="auto"/>
              <w:left w:val="nil"/>
              <w:bottom w:val="nil"/>
              <w:right w:val="nil"/>
            </w:tcBorders>
            <w:vAlign w:val="center"/>
          </w:tcPr>
          <w:p w:rsidR="006916DC" w:rsidRPr="00CA6939" w:rsidRDefault="006916DC" w:rsidP="00CA6939">
            <w:pPr>
              <w:spacing w:before="40"/>
              <w:jc w:val="center"/>
            </w:pPr>
            <w:r w:rsidRPr="00CA6939">
              <w:t>Esterco (E)</w:t>
            </w:r>
          </w:p>
        </w:tc>
        <w:tc>
          <w:tcPr>
            <w:tcW w:w="560" w:type="dxa"/>
            <w:tcBorders>
              <w:top w:val="single" w:sz="4" w:space="0" w:color="auto"/>
              <w:left w:val="nil"/>
              <w:bottom w:val="nil"/>
              <w:right w:val="nil"/>
            </w:tcBorders>
            <w:vAlign w:val="center"/>
          </w:tcPr>
          <w:p w:rsidR="006916DC" w:rsidRPr="00CA6939" w:rsidRDefault="006916DC" w:rsidP="00CA6939">
            <w:pPr>
              <w:spacing w:before="40"/>
              <w:ind w:right="57"/>
              <w:jc w:val="right"/>
            </w:pPr>
            <w:r w:rsidRPr="00CA6939">
              <w:t>1</w:t>
            </w:r>
          </w:p>
        </w:tc>
        <w:tc>
          <w:tcPr>
            <w:tcW w:w="1753" w:type="dxa"/>
            <w:tcBorders>
              <w:top w:val="single" w:sz="4" w:space="0" w:color="auto"/>
              <w:left w:val="nil"/>
              <w:bottom w:val="nil"/>
              <w:right w:val="nil"/>
            </w:tcBorders>
            <w:vAlign w:val="center"/>
          </w:tcPr>
          <w:p w:rsidR="006916DC" w:rsidRPr="00CA6939" w:rsidRDefault="006916DC" w:rsidP="00CA6939">
            <w:pPr>
              <w:spacing w:before="40"/>
              <w:jc w:val="center"/>
            </w:pPr>
            <w:r w:rsidRPr="00CA6939">
              <w:t>103.949,761</w:t>
            </w:r>
            <w:r w:rsidRPr="00CA6939">
              <w:rPr>
                <w:vertAlign w:val="superscript"/>
              </w:rPr>
              <w:t>**(4)</w:t>
            </w:r>
          </w:p>
        </w:tc>
        <w:tc>
          <w:tcPr>
            <w:tcW w:w="973" w:type="dxa"/>
            <w:tcBorders>
              <w:top w:val="single" w:sz="4" w:space="0" w:color="auto"/>
              <w:left w:val="nil"/>
              <w:bottom w:val="nil"/>
              <w:right w:val="nil"/>
            </w:tcBorders>
            <w:vAlign w:val="center"/>
          </w:tcPr>
          <w:p w:rsidR="006916DC" w:rsidRPr="00CA6939" w:rsidRDefault="006916DC" w:rsidP="00CA6939">
            <w:pPr>
              <w:spacing w:before="40"/>
              <w:jc w:val="center"/>
            </w:pPr>
            <w:r w:rsidRPr="00CA6939">
              <w:t>0,007</w:t>
            </w:r>
            <w:r w:rsidRPr="00CA6939">
              <w:rPr>
                <w:vertAlign w:val="superscript"/>
              </w:rPr>
              <w:t>**</w:t>
            </w:r>
          </w:p>
        </w:tc>
        <w:tc>
          <w:tcPr>
            <w:tcW w:w="973" w:type="dxa"/>
            <w:tcBorders>
              <w:top w:val="single" w:sz="4" w:space="0" w:color="auto"/>
              <w:left w:val="nil"/>
              <w:bottom w:val="nil"/>
              <w:right w:val="nil"/>
            </w:tcBorders>
            <w:vAlign w:val="center"/>
          </w:tcPr>
          <w:p w:rsidR="006916DC" w:rsidRPr="00CA6939" w:rsidRDefault="006916DC" w:rsidP="00CA6939">
            <w:pPr>
              <w:spacing w:before="40"/>
              <w:jc w:val="center"/>
            </w:pPr>
            <w:r w:rsidRPr="00CA6939">
              <w:t>0,000</w:t>
            </w:r>
            <w:r w:rsidRPr="00CA6939">
              <w:rPr>
                <w:vertAlign w:val="superscript"/>
              </w:rPr>
              <w:t>NS</w:t>
            </w:r>
          </w:p>
        </w:tc>
        <w:tc>
          <w:tcPr>
            <w:tcW w:w="1133" w:type="dxa"/>
            <w:tcBorders>
              <w:top w:val="single" w:sz="4" w:space="0" w:color="auto"/>
              <w:left w:val="nil"/>
              <w:bottom w:val="nil"/>
              <w:right w:val="nil"/>
            </w:tcBorders>
            <w:vAlign w:val="center"/>
          </w:tcPr>
          <w:p w:rsidR="006916DC" w:rsidRPr="00CA6939" w:rsidRDefault="006916DC" w:rsidP="00CA6939">
            <w:pPr>
              <w:spacing w:before="40"/>
              <w:jc w:val="center"/>
            </w:pPr>
            <w:r w:rsidRPr="00CA6939">
              <w:t>157,779</w:t>
            </w:r>
            <w:r w:rsidRPr="00CA6939">
              <w:rPr>
                <w:vertAlign w:val="superscript"/>
              </w:rPr>
              <w:t>**</w:t>
            </w:r>
          </w:p>
        </w:tc>
        <w:tc>
          <w:tcPr>
            <w:tcW w:w="1177" w:type="dxa"/>
            <w:tcBorders>
              <w:top w:val="single" w:sz="4" w:space="0" w:color="auto"/>
              <w:left w:val="nil"/>
              <w:bottom w:val="nil"/>
              <w:right w:val="nil"/>
            </w:tcBorders>
            <w:vAlign w:val="center"/>
          </w:tcPr>
          <w:p w:rsidR="006916DC" w:rsidRPr="00CA6939" w:rsidRDefault="006916DC" w:rsidP="00CA6939">
            <w:pPr>
              <w:spacing w:before="40"/>
              <w:jc w:val="center"/>
            </w:pPr>
            <w:r w:rsidRPr="00CA6939">
              <w:t>2,179</w:t>
            </w:r>
            <w:r w:rsidRPr="00CA6939">
              <w:rPr>
                <w:vertAlign w:val="superscript"/>
              </w:rPr>
              <w:t>**</w:t>
            </w:r>
          </w:p>
        </w:tc>
        <w:tc>
          <w:tcPr>
            <w:tcW w:w="1123" w:type="dxa"/>
            <w:tcBorders>
              <w:top w:val="single" w:sz="4" w:space="0" w:color="auto"/>
              <w:left w:val="nil"/>
              <w:bottom w:val="nil"/>
              <w:right w:val="nil"/>
            </w:tcBorders>
            <w:vAlign w:val="center"/>
          </w:tcPr>
          <w:p w:rsidR="006916DC" w:rsidRPr="00CA6939" w:rsidRDefault="006916DC" w:rsidP="00CA6939">
            <w:pPr>
              <w:spacing w:before="40"/>
              <w:jc w:val="center"/>
            </w:pPr>
            <w:r w:rsidRPr="00CA6939">
              <w:t>0,112</w:t>
            </w:r>
            <w:r w:rsidRPr="00CA6939">
              <w:rPr>
                <w:vertAlign w:val="superscript"/>
              </w:rPr>
              <w:t>NS</w:t>
            </w:r>
          </w:p>
        </w:tc>
      </w:tr>
      <w:tr w:rsidR="006916DC" w:rsidRPr="00CA6939" w:rsidTr="00D142DC">
        <w:trPr>
          <w:trHeight w:val="304"/>
          <w:jc w:val="center"/>
        </w:trPr>
        <w:tc>
          <w:tcPr>
            <w:tcW w:w="1728" w:type="dxa"/>
            <w:tcBorders>
              <w:top w:val="nil"/>
              <w:left w:val="nil"/>
              <w:bottom w:val="nil"/>
              <w:right w:val="nil"/>
            </w:tcBorders>
            <w:vAlign w:val="center"/>
          </w:tcPr>
          <w:p w:rsidR="006916DC" w:rsidRPr="00CA6939" w:rsidRDefault="006916DC" w:rsidP="00CA6939">
            <w:pPr>
              <w:spacing w:before="40"/>
              <w:jc w:val="center"/>
            </w:pPr>
            <w:r w:rsidRPr="00CA6939">
              <w:t>Manipueira (M)</w:t>
            </w:r>
          </w:p>
        </w:tc>
        <w:tc>
          <w:tcPr>
            <w:tcW w:w="560" w:type="dxa"/>
            <w:tcBorders>
              <w:top w:val="nil"/>
              <w:left w:val="nil"/>
              <w:bottom w:val="nil"/>
              <w:right w:val="nil"/>
            </w:tcBorders>
            <w:vAlign w:val="center"/>
          </w:tcPr>
          <w:p w:rsidR="006916DC" w:rsidRPr="00CA6939" w:rsidRDefault="006916DC" w:rsidP="00CA6939">
            <w:pPr>
              <w:spacing w:before="40"/>
              <w:ind w:right="57"/>
              <w:jc w:val="right"/>
            </w:pPr>
            <w:r w:rsidRPr="00CA6939">
              <w:t>4</w:t>
            </w:r>
          </w:p>
        </w:tc>
        <w:tc>
          <w:tcPr>
            <w:tcW w:w="1753" w:type="dxa"/>
            <w:tcBorders>
              <w:top w:val="nil"/>
              <w:left w:val="nil"/>
              <w:bottom w:val="nil"/>
              <w:right w:val="nil"/>
            </w:tcBorders>
            <w:vAlign w:val="center"/>
          </w:tcPr>
          <w:p w:rsidR="006916DC" w:rsidRPr="00CA6939" w:rsidRDefault="006916DC" w:rsidP="00CA6939">
            <w:pPr>
              <w:spacing w:before="40"/>
              <w:jc w:val="center"/>
            </w:pPr>
            <w:r w:rsidRPr="00CA6939">
              <w:t>18.051,549</w:t>
            </w:r>
            <w:r w:rsidRPr="00CA6939">
              <w:rPr>
                <w:vertAlign w:val="superscript"/>
              </w:rPr>
              <w:t>**</w:t>
            </w:r>
          </w:p>
        </w:tc>
        <w:tc>
          <w:tcPr>
            <w:tcW w:w="973" w:type="dxa"/>
            <w:tcBorders>
              <w:top w:val="nil"/>
              <w:left w:val="nil"/>
              <w:bottom w:val="nil"/>
              <w:right w:val="nil"/>
            </w:tcBorders>
            <w:vAlign w:val="center"/>
          </w:tcPr>
          <w:p w:rsidR="006916DC" w:rsidRPr="00CA6939" w:rsidRDefault="006916DC" w:rsidP="00CA6939">
            <w:pPr>
              <w:spacing w:before="40"/>
              <w:jc w:val="center"/>
            </w:pPr>
            <w:r w:rsidRPr="00CA6939">
              <w:t>0,001</w:t>
            </w:r>
            <w:r w:rsidRPr="00CA6939">
              <w:rPr>
                <w:vertAlign w:val="superscript"/>
              </w:rPr>
              <w:t>**</w:t>
            </w:r>
          </w:p>
        </w:tc>
        <w:tc>
          <w:tcPr>
            <w:tcW w:w="973" w:type="dxa"/>
            <w:tcBorders>
              <w:top w:val="nil"/>
              <w:left w:val="nil"/>
              <w:bottom w:val="nil"/>
              <w:right w:val="nil"/>
            </w:tcBorders>
            <w:vAlign w:val="center"/>
          </w:tcPr>
          <w:p w:rsidR="006916DC" w:rsidRPr="00CA6939" w:rsidRDefault="006916DC" w:rsidP="00CA6939">
            <w:pPr>
              <w:spacing w:before="40"/>
              <w:jc w:val="center"/>
            </w:pPr>
            <w:r w:rsidRPr="00CA6939">
              <w:t>0,001</w:t>
            </w:r>
            <w:r w:rsidRPr="00CA6939">
              <w:rPr>
                <w:vertAlign w:val="superscript"/>
              </w:rPr>
              <w:t>*</w:t>
            </w:r>
          </w:p>
        </w:tc>
        <w:tc>
          <w:tcPr>
            <w:tcW w:w="1133" w:type="dxa"/>
            <w:tcBorders>
              <w:top w:val="nil"/>
              <w:left w:val="nil"/>
              <w:bottom w:val="nil"/>
              <w:right w:val="nil"/>
            </w:tcBorders>
            <w:vAlign w:val="center"/>
          </w:tcPr>
          <w:p w:rsidR="006916DC" w:rsidRPr="00CA6939" w:rsidRDefault="006916DC" w:rsidP="00CA6939">
            <w:pPr>
              <w:spacing w:before="40"/>
              <w:jc w:val="center"/>
            </w:pPr>
            <w:r w:rsidRPr="00CA6939">
              <w:t>16,181</w:t>
            </w:r>
            <w:r w:rsidRPr="00CA6939">
              <w:rPr>
                <w:vertAlign w:val="superscript"/>
              </w:rPr>
              <w:t>**</w:t>
            </w:r>
          </w:p>
        </w:tc>
        <w:tc>
          <w:tcPr>
            <w:tcW w:w="1177" w:type="dxa"/>
            <w:tcBorders>
              <w:top w:val="nil"/>
              <w:left w:val="nil"/>
              <w:bottom w:val="nil"/>
              <w:right w:val="nil"/>
            </w:tcBorders>
            <w:vAlign w:val="center"/>
          </w:tcPr>
          <w:p w:rsidR="006916DC" w:rsidRPr="00CA6939" w:rsidRDefault="006916DC" w:rsidP="00CA6939">
            <w:pPr>
              <w:spacing w:before="40"/>
              <w:jc w:val="center"/>
            </w:pPr>
            <w:r w:rsidRPr="00CA6939">
              <w:t>0,200</w:t>
            </w:r>
            <w:r w:rsidRPr="00CA6939">
              <w:rPr>
                <w:vertAlign w:val="superscript"/>
              </w:rPr>
              <w:t>**</w:t>
            </w:r>
          </w:p>
        </w:tc>
        <w:tc>
          <w:tcPr>
            <w:tcW w:w="1123" w:type="dxa"/>
            <w:tcBorders>
              <w:top w:val="nil"/>
              <w:left w:val="nil"/>
              <w:bottom w:val="nil"/>
              <w:right w:val="nil"/>
            </w:tcBorders>
            <w:vAlign w:val="center"/>
          </w:tcPr>
          <w:p w:rsidR="006916DC" w:rsidRPr="00CA6939" w:rsidRDefault="006916DC" w:rsidP="00CA6939">
            <w:pPr>
              <w:spacing w:before="40"/>
              <w:jc w:val="center"/>
            </w:pPr>
            <w:r w:rsidRPr="00CA6939">
              <w:t>0,413</w:t>
            </w:r>
            <w:r w:rsidRPr="00CA6939">
              <w:rPr>
                <w:vertAlign w:val="superscript"/>
              </w:rPr>
              <w:t>**</w:t>
            </w:r>
          </w:p>
        </w:tc>
      </w:tr>
      <w:tr w:rsidR="006916DC" w:rsidRPr="00CA6939" w:rsidTr="00D142DC">
        <w:trPr>
          <w:trHeight w:val="289"/>
          <w:jc w:val="center"/>
        </w:trPr>
        <w:tc>
          <w:tcPr>
            <w:tcW w:w="1728" w:type="dxa"/>
            <w:tcBorders>
              <w:top w:val="nil"/>
              <w:left w:val="nil"/>
              <w:bottom w:val="nil"/>
              <w:right w:val="nil"/>
            </w:tcBorders>
            <w:vAlign w:val="center"/>
          </w:tcPr>
          <w:p w:rsidR="006916DC" w:rsidRPr="00CA6939" w:rsidRDefault="006916DC" w:rsidP="00CA6939">
            <w:pPr>
              <w:spacing w:before="40"/>
              <w:jc w:val="center"/>
            </w:pPr>
            <w:r w:rsidRPr="00CA6939">
              <w:t>E*M</w:t>
            </w:r>
          </w:p>
        </w:tc>
        <w:tc>
          <w:tcPr>
            <w:tcW w:w="560" w:type="dxa"/>
            <w:tcBorders>
              <w:top w:val="nil"/>
              <w:left w:val="nil"/>
              <w:bottom w:val="nil"/>
              <w:right w:val="nil"/>
            </w:tcBorders>
            <w:vAlign w:val="center"/>
          </w:tcPr>
          <w:p w:rsidR="006916DC" w:rsidRPr="00CA6939" w:rsidRDefault="006916DC" w:rsidP="00CA6939">
            <w:pPr>
              <w:spacing w:before="40"/>
              <w:ind w:right="57"/>
              <w:jc w:val="right"/>
            </w:pPr>
            <w:r w:rsidRPr="00CA6939">
              <w:t>4</w:t>
            </w:r>
          </w:p>
        </w:tc>
        <w:tc>
          <w:tcPr>
            <w:tcW w:w="1753" w:type="dxa"/>
            <w:tcBorders>
              <w:top w:val="nil"/>
              <w:left w:val="nil"/>
              <w:bottom w:val="nil"/>
              <w:right w:val="nil"/>
            </w:tcBorders>
            <w:vAlign w:val="center"/>
          </w:tcPr>
          <w:p w:rsidR="006916DC" w:rsidRPr="00CA6939" w:rsidRDefault="006916DC" w:rsidP="00CA6939">
            <w:pPr>
              <w:spacing w:before="40"/>
              <w:jc w:val="center"/>
            </w:pPr>
            <w:r w:rsidRPr="00CA6939">
              <w:t>2.934,954</w:t>
            </w:r>
            <w:r w:rsidRPr="00CA6939">
              <w:rPr>
                <w:vertAlign w:val="superscript"/>
              </w:rPr>
              <w:t>**</w:t>
            </w:r>
          </w:p>
        </w:tc>
        <w:tc>
          <w:tcPr>
            <w:tcW w:w="973" w:type="dxa"/>
            <w:tcBorders>
              <w:top w:val="nil"/>
              <w:left w:val="nil"/>
              <w:bottom w:val="nil"/>
              <w:right w:val="nil"/>
            </w:tcBorders>
            <w:vAlign w:val="center"/>
          </w:tcPr>
          <w:p w:rsidR="006916DC" w:rsidRPr="00CA6939" w:rsidRDefault="006916DC" w:rsidP="00CA6939">
            <w:pPr>
              <w:spacing w:before="40"/>
              <w:jc w:val="center"/>
            </w:pPr>
            <w:r w:rsidRPr="00CA6939">
              <w:t>0,000</w:t>
            </w:r>
            <w:r w:rsidRPr="00CA6939">
              <w:rPr>
                <w:vertAlign w:val="superscript"/>
              </w:rPr>
              <w:t>NS</w:t>
            </w:r>
          </w:p>
        </w:tc>
        <w:tc>
          <w:tcPr>
            <w:tcW w:w="973" w:type="dxa"/>
            <w:tcBorders>
              <w:top w:val="nil"/>
              <w:left w:val="nil"/>
              <w:bottom w:val="nil"/>
              <w:right w:val="nil"/>
            </w:tcBorders>
            <w:vAlign w:val="center"/>
          </w:tcPr>
          <w:p w:rsidR="006916DC" w:rsidRPr="00CA6939" w:rsidRDefault="006916DC" w:rsidP="00CA6939">
            <w:pPr>
              <w:spacing w:before="40"/>
              <w:jc w:val="center"/>
            </w:pPr>
            <w:r w:rsidRPr="00CA6939">
              <w:t>0,001</w:t>
            </w:r>
            <w:r w:rsidRPr="00CA6939">
              <w:rPr>
                <w:vertAlign w:val="superscript"/>
              </w:rPr>
              <w:t>*</w:t>
            </w:r>
          </w:p>
        </w:tc>
        <w:tc>
          <w:tcPr>
            <w:tcW w:w="1133" w:type="dxa"/>
            <w:tcBorders>
              <w:top w:val="nil"/>
              <w:left w:val="nil"/>
              <w:bottom w:val="nil"/>
              <w:right w:val="nil"/>
            </w:tcBorders>
            <w:vAlign w:val="center"/>
          </w:tcPr>
          <w:p w:rsidR="006916DC" w:rsidRPr="00CA6939" w:rsidRDefault="006916DC" w:rsidP="00CA6939">
            <w:pPr>
              <w:spacing w:before="40"/>
              <w:jc w:val="center"/>
            </w:pPr>
            <w:r w:rsidRPr="00CA6939">
              <w:t>1,073</w:t>
            </w:r>
            <w:r w:rsidRPr="00CA6939">
              <w:rPr>
                <w:vertAlign w:val="superscript"/>
              </w:rPr>
              <w:t>**</w:t>
            </w:r>
          </w:p>
        </w:tc>
        <w:tc>
          <w:tcPr>
            <w:tcW w:w="1177" w:type="dxa"/>
            <w:tcBorders>
              <w:top w:val="nil"/>
              <w:left w:val="nil"/>
              <w:bottom w:val="nil"/>
              <w:right w:val="nil"/>
            </w:tcBorders>
            <w:vAlign w:val="center"/>
          </w:tcPr>
          <w:p w:rsidR="006916DC" w:rsidRPr="00CA6939" w:rsidRDefault="006916DC" w:rsidP="00CA6939">
            <w:pPr>
              <w:spacing w:before="40"/>
              <w:jc w:val="center"/>
            </w:pPr>
            <w:r w:rsidRPr="00CA6939">
              <w:t>0,019</w:t>
            </w:r>
            <w:r w:rsidRPr="00CA6939">
              <w:rPr>
                <w:vertAlign w:val="superscript"/>
              </w:rPr>
              <w:t>**</w:t>
            </w:r>
          </w:p>
        </w:tc>
        <w:tc>
          <w:tcPr>
            <w:tcW w:w="1123" w:type="dxa"/>
            <w:tcBorders>
              <w:top w:val="nil"/>
              <w:left w:val="nil"/>
              <w:bottom w:val="nil"/>
              <w:right w:val="nil"/>
            </w:tcBorders>
            <w:vAlign w:val="center"/>
          </w:tcPr>
          <w:p w:rsidR="006916DC" w:rsidRPr="00CA6939" w:rsidRDefault="006916DC" w:rsidP="00CA6939">
            <w:pPr>
              <w:spacing w:before="40"/>
              <w:jc w:val="center"/>
            </w:pPr>
            <w:r w:rsidRPr="00CA6939">
              <w:t>0,915</w:t>
            </w:r>
            <w:r w:rsidRPr="00CA6939">
              <w:rPr>
                <w:vertAlign w:val="superscript"/>
              </w:rPr>
              <w:t>**</w:t>
            </w:r>
          </w:p>
        </w:tc>
      </w:tr>
      <w:tr w:rsidR="006916DC" w:rsidRPr="00CA6939" w:rsidTr="00D142DC">
        <w:trPr>
          <w:trHeight w:val="304"/>
          <w:jc w:val="center"/>
        </w:trPr>
        <w:tc>
          <w:tcPr>
            <w:tcW w:w="1728" w:type="dxa"/>
            <w:tcBorders>
              <w:top w:val="nil"/>
              <w:left w:val="nil"/>
              <w:bottom w:val="single" w:sz="4" w:space="0" w:color="auto"/>
              <w:right w:val="nil"/>
            </w:tcBorders>
            <w:vAlign w:val="center"/>
          </w:tcPr>
          <w:p w:rsidR="006916DC" w:rsidRPr="00CA6939" w:rsidRDefault="006916DC" w:rsidP="00CA6939">
            <w:pPr>
              <w:spacing w:before="40"/>
              <w:jc w:val="center"/>
            </w:pPr>
            <w:r w:rsidRPr="00CA6939">
              <w:t>Erro</w:t>
            </w:r>
          </w:p>
        </w:tc>
        <w:tc>
          <w:tcPr>
            <w:tcW w:w="560" w:type="dxa"/>
            <w:tcBorders>
              <w:top w:val="nil"/>
              <w:left w:val="nil"/>
              <w:bottom w:val="single" w:sz="4" w:space="0" w:color="auto"/>
              <w:right w:val="nil"/>
            </w:tcBorders>
            <w:vAlign w:val="center"/>
          </w:tcPr>
          <w:p w:rsidR="006916DC" w:rsidRPr="00CA6939" w:rsidRDefault="006916DC" w:rsidP="00CA6939">
            <w:pPr>
              <w:spacing w:before="40"/>
              <w:ind w:right="57"/>
              <w:jc w:val="right"/>
            </w:pPr>
            <w:r w:rsidRPr="00CA6939">
              <w:t>40</w:t>
            </w:r>
          </w:p>
        </w:tc>
        <w:tc>
          <w:tcPr>
            <w:tcW w:w="1753" w:type="dxa"/>
            <w:tcBorders>
              <w:top w:val="nil"/>
              <w:left w:val="nil"/>
              <w:bottom w:val="single" w:sz="4" w:space="0" w:color="auto"/>
              <w:right w:val="nil"/>
            </w:tcBorders>
            <w:vAlign w:val="center"/>
          </w:tcPr>
          <w:p w:rsidR="006916DC" w:rsidRPr="00CA6939" w:rsidRDefault="006916DC" w:rsidP="00CA6939">
            <w:pPr>
              <w:spacing w:before="40"/>
              <w:jc w:val="center"/>
            </w:pPr>
            <w:r w:rsidRPr="00CA6939">
              <w:t>433,541</w:t>
            </w:r>
          </w:p>
        </w:tc>
        <w:tc>
          <w:tcPr>
            <w:tcW w:w="973" w:type="dxa"/>
            <w:tcBorders>
              <w:top w:val="nil"/>
              <w:left w:val="nil"/>
              <w:bottom w:val="single" w:sz="4" w:space="0" w:color="auto"/>
              <w:right w:val="nil"/>
            </w:tcBorders>
            <w:vAlign w:val="center"/>
          </w:tcPr>
          <w:p w:rsidR="006916DC" w:rsidRPr="00CA6939" w:rsidRDefault="006916DC" w:rsidP="00CA6939">
            <w:pPr>
              <w:spacing w:before="40"/>
              <w:jc w:val="center"/>
            </w:pPr>
            <w:r w:rsidRPr="00CA6939">
              <w:t>0,000</w:t>
            </w:r>
          </w:p>
        </w:tc>
        <w:tc>
          <w:tcPr>
            <w:tcW w:w="973" w:type="dxa"/>
            <w:tcBorders>
              <w:top w:val="nil"/>
              <w:left w:val="nil"/>
              <w:bottom w:val="single" w:sz="4" w:space="0" w:color="auto"/>
              <w:right w:val="nil"/>
            </w:tcBorders>
            <w:vAlign w:val="center"/>
          </w:tcPr>
          <w:p w:rsidR="006916DC" w:rsidRPr="00CA6939" w:rsidRDefault="006916DC" w:rsidP="00CA6939">
            <w:pPr>
              <w:spacing w:before="40"/>
              <w:jc w:val="center"/>
            </w:pPr>
            <w:r w:rsidRPr="00CA6939">
              <w:t>0,000</w:t>
            </w:r>
          </w:p>
        </w:tc>
        <w:tc>
          <w:tcPr>
            <w:tcW w:w="1133" w:type="dxa"/>
            <w:tcBorders>
              <w:top w:val="nil"/>
              <w:left w:val="nil"/>
              <w:bottom w:val="single" w:sz="4" w:space="0" w:color="auto"/>
              <w:right w:val="nil"/>
            </w:tcBorders>
            <w:vAlign w:val="center"/>
          </w:tcPr>
          <w:p w:rsidR="006916DC" w:rsidRPr="00CA6939" w:rsidRDefault="006916DC" w:rsidP="00CA6939">
            <w:pPr>
              <w:spacing w:before="40"/>
              <w:jc w:val="center"/>
            </w:pPr>
            <w:r w:rsidRPr="00CA6939">
              <w:t>0,277</w:t>
            </w:r>
          </w:p>
        </w:tc>
        <w:tc>
          <w:tcPr>
            <w:tcW w:w="1177" w:type="dxa"/>
            <w:tcBorders>
              <w:top w:val="nil"/>
              <w:left w:val="nil"/>
              <w:bottom w:val="single" w:sz="4" w:space="0" w:color="auto"/>
              <w:right w:val="nil"/>
            </w:tcBorders>
            <w:vAlign w:val="center"/>
          </w:tcPr>
          <w:p w:rsidR="006916DC" w:rsidRPr="00CA6939" w:rsidRDefault="006916DC" w:rsidP="00CA6939">
            <w:pPr>
              <w:spacing w:before="40"/>
              <w:jc w:val="center"/>
            </w:pPr>
            <w:r w:rsidRPr="00CA6939">
              <w:t>0,004</w:t>
            </w:r>
          </w:p>
        </w:tc>
        <w:tc>
          <w:tcPr>
            <w:tcW w:w="1123" w:type="dxa"/>
            <w:tcBorders>
              <w:top w:val="nil"/>
              <w:left w:val="nil"/>
              <w:bottom w:val="single" w:sz="4" w:space="0" w:color="auto"/>
              <w:right w:val="nil"/>
            </w:tcBorders>
            <w:vAlign w:val="center"/>
          </w:tcPr>
          <w:p w:rsidR="006916DC" w:rsidRPr="00CA6939" w:rsidRDefault="006916DC" w:rsidP="00CA6939">
            <w:pPr>
              <w:spacing w:before="40"/>
              <w:jc w:val="center"/>
            </w:pPr>
            <w:r w:rsidRPr="00CA6939">
              <w:t>0,056</w:t>
            </w:r>
          </w:p>
        </w:tc>
      </w:tr>
      <w:tr w:rsidR="006916DC" w:rsidRPr="00CA6939" w:rsidTr="00D142DC">
        <w:trPr>
          <w:trHeight w:val="304"/>
          <w:jc w:val="center"/>
        </w:trPr>
        <w:tc>
          <w:tcPr>
            <w:tcW w:w="1728" w:type="dxa"/>
            <w:tcBorders>
              <w:top w:val="single" w:sz="4" w:space="0" w:color="auto"/>
              <w:left w:val="nil"/>
              <w:bottom w:val="nil"/>
              <w:right w:val="nil"/>
            </w:tcBorders>
            <w:vAlign w:val="center"/>
          </w:tcPr>
          <w:p w:rsidR="006916DC" w:rsidRPr="00CA6939" w:rsidRDefault="006916DC" w:rsidP="00CA6939">
            <w:pPr>
              <w:spacing w:before="40"/>
              <w:jc w:val="center"/>
            </w:pPr>
            <w:r w:rsidRPr="00CA6939">
              <w:t>Média</w:t>
            </w:r>
          </w:p>
        </w:tc>
        <w:tc>
          <w:tcPr>
            <w:tcW w:w="560" w:type="dxa"/>
            <w:tcBorders>
              <w:top w:val="single" w:sz="4" w:space="0" w:color="auto"/>
              <w:left w:val="nil"/>
              <w:bottom w:val="nil"/>
              <w:right w:val="nil"/>
            </w:tcBorders>
            <w:vAlign w:val="center"/>
          </w:tcPr>
          <w:p w:rsidR="006916DC" w:rsidRPr="00CA6939" w:rsidRDefault="006916DC" w:rsidP="00CA6939">
            <w:pPr>
              <w:spacing w:before="40"/>
              <w:jc w:val="center"/>
            </w:pPr>
          </w:p>
        </w:tc>
        <w:tc>
          <w:tcPr>
            <w:tcW w:w="1753" w:type="dxa"/>
            <w:tcBorders>
              <w:top w:val="single" w:sz="4" w:space="0" w:color="auto"/>
              <w:left w:val="nil"/>
              <w:bottom w:val="nil"/>
              <w:right w:val="nil"/>
            </w:tcBorders>
            <w:vAlign w:val="center"/>
          </w:tcPr>
          <w:p w:rsidR="006916DC" w:rsidRPr="00CA6939" w:rsidRDefault="006916DC" w:rsidP="00CA6939">
            <w:pPr>
              <w:spacing w:before="40"/>
              <w:jc w:val="center"/>
              <w:rPr>
                <w:vertAlign w:val="superscript"/>
              </w:rPr>
            </w:pPr>
            <w:r w:rsidRPr="00CA6939">
              <w:t xml:space="preserve">157,2 </w:t>
            </w:r>
          </w:p>
        </w:tc>
        <w:tc>
          <w:tcPr>
            <w:tcW w:w="973" w:type="dxa"/>
            <w:tcBorders>
              <w:top w:val="single" w:sz="4" w:space="0" w:color="auto"/>
              <w:left w:val="nil"/>
              <w:bottom w:val="nil"/>
              <w:right w:val="nil"/>
            </w:tcBorders>
            <w:vAlign w:val="center"/>
          </w:tcPr>
          <w:p w:rsidR="006916DC" w:rsidRPr="00CA6939" w:rsidRDefault="006916DC" w:rsidP="00CA6939">
            <w:pPr>
              <w:spacing w:before="40"/>
              <w:jc w:val="center"/>
              <w:rPr>
                <w:vertAlign w:val="superscript"/>
              </w:rPr>
            </w:pPr>
            <w:r w:rsidRPr="00CA6939">
              <w:t xml:space="preserve">0,026 </w:t>
            </w:r>
          </w:p>
        </w:tc>
        <w:tc>
          <w:tcPr>
            <w:tcW w:w="973" w:type="dxa"/>
            <w:tcBorders>
              <w:top w:val="single" w:sz="4" w:space="0" w:color="auto"/>
              <w:left w:val="nil"/>
              <w:bottom w:val="nil"/>
              <w:right w:val="nil"/>
            </w:tcBorders>
            <w:vAlign w:val="center"/>
          </w:tcPr>
          <w:p w:rsidR="006916DC" w:rsidRPr="00CA6939" w:rsidRDefault="006916DC" w:rsidP="00CA6939">
            <w:pPr>
              <w:spacing w:before="40"/>
              <w:jc w:val="center"/>
            </w:pPr>
            <w:r w:rsidRPr="00CA6939">
              <w:t xml:space="preserve">0,081 </w:t>
            </w:r>
          </w:p>
        </w:tc>
        <w:tc>
          <w:tcPr>
            <w:tcW w:w="1133" w:type="dxa"/>
            <w:tcBorders>
              <w:top w:val="single" w:sz="4" w:space="0" w:color="auto"/>
              <w:left w:val="nil"/>
              <w:bottom w:val="nil"/>
              <w:right w:val="nil"/>
            </w:tcBorders>
            <w:vAlign w:val="center"/>
          </w:tcPr>
          <w:p w:rsidR="006916DC" w:rsidRPr="00CA6939" w:rsidRDefault="006916DC" w:rsidP="00CA6939">
            <w:pPr>
              <w:spacing w:before="40"/>
              <w:jc w:val="center"/>
            </w:pPr>
            <w:r w:rsidRPr="00CA6939">
              <w:t>3,88</w:t>
            </w:r>
          </w:p>
        </w:tc>
        <w:tc>
          <w:tcPr>
            <w:tcW w:w="1177" w:type="dxa"/>
            <w:tcBorders>
              <w:top w:val="single" w:sz="4" w:space="0" w:color="auto"/>
              <w:left w:val="nil"/>
              <w:bottom w:val="nil"/>
              <w:right w:val="nil"/>
            </w:tcBorders>
            <w:vAlign w:val="center"/>
          </w:tcPr>
          <w:p w:rsidR="006916DC" w:rsidRPr="00CA6939" w:rsidRDefault="006916DC" w:rsidP="00CA6939">
            <w:pPr>
              <w:spacing w:before="40"/>
              <w:jc w:val="center"/>
            </w:pPr>
            <w:r w:rsidRPr="00CA6939">
              <w:t>0,46</w:t>
            </w:r>
          </w:p>
        </w:tc>
        <w:tc>
          <w:tcPr>
            <w:tcW w:w="1123" w:type="dxa"/>
            <w:tcBorders>
              <w:top w:val="single" w:sz="4" w:space="0" w:color="auto"/>
              <w:left w:val="nil"/>
              <w:bottom w:val="nil"/>
              <w:right w:val="nil"/>
            </w:tcBorders>
            <w:vAlign w:val="center"/>
          </w:tcPr>
          <w:p w:rsidR="006916DC" w:rsidRPr="00CA6939" w:rsidRDefault="006916DC" w:rsidP="00CA6939">
            <w:pPr>
              <w:spacing w:before="40"/>
              <w:jc w:val="center"/>
            </w:pPr>
            <w:r w:rsidRPr="00CA6939">
              <w:t xml:space="preserve">7,337 </w:t>
            </w:r>
          </w:p>
        </w:tc>
      </w:tr>
      <w:tr w:rsidR="006916DC" w:rsidRPr="00CA6939" w:rsidTr="00D142DC">
        <w:trPr>
          <w:trHeight w:val="289"/>
          <w:jc w:val="center"/>
        </w:trPr>
        <w:tc>
          <w:tcPr>
            <w:tcW w:w="1728" w:type="dxa"/>
            <w:tcBorders>
              <w:top w:val="nil"/>
              <w:left w:val="nil"/>
              <w:bottom w:val="single" w:sz="4" w:space="0" w:color="auto"/>
              <w:right w:val="nil"/>
            </w:tcBorders>
            <w:vAlign w:val="center"/>
          </w:tcPr>
          <w:p w:rsidR="006916DC" w:rsidRPr="00CA6939" w:rsidRDefault="006916DC" w:rsidP="00CA6939">
            <w:pPr>
              <w:spacing w:before="40"/>
              <w:jc w:val="center"/>
            </w:pPr>
            <w:r w:rsidRPr="00CA6939">
              <w:t>CV (%)</w:t>
            </w:r>
          </w:p>
        </w:tc>
        <w:tc>
          <w:tcPr>
            <w:tcW w:w="560" w:type="dxa"/>
            <w:tcBorders>
              <w:top w:val="nil"/>
              <w:left w:val="nil"/>
              <w:bottom w:val="single" w:sz="4" w:space="0" w:color="auto"/>
              <w:right w:val="nil"/>
            </w:tcBorders>
            <w:vAlign w:val="center"/>
          </w:tcPr>
          <w:p w:rsidR="006916DC" w:rsidRPr="00CA6939" w:rsidRDefault="006916DC" w:rsidP="00CA6939">
            <w:pPr>
              <w:spacing w:before="40"/>
              <w:jc w:val="center"/>
            </w:pPr>
          </w:p>
        </w:tc>
        <w:tc>
          <w:tcPr>
            <w:tcW w:w="1753" w:type="dxa"/>
            <w:tcBorders>
              <w:top w:val="nil"/>
              <w:left w:val="nil"/>
              <w:bottom w:val="single" w:sz="4" w:space="0" w:color="auto"/>
              <w:right w:val="nil"/>
            </w:tcBorders>
            <w:vAlign w:val="center"/>
          </w:tcPr>
          <w:p w:rsidR="006916DC" w:rsidRPr="00CA6939" w:rsidRDefault="006916DC" w:rsidP="00CA6939">
            <w:pPr>
              <w:spacing w:before="40"/>
              <w:jc w:val="center"/>
            </w:pPr>
            <w:r w:rsidRPr="00CA6939">
              <w:t>13,2</w:t>
            </w:r>
          </w:p>
        </w:tc>
        <w:tc>
          <w:tcPr>
            <w:tcW w:w="973" w:type="dxa"/>
            <w:tcBorders>
              <w:top w:val="nil"/>
              <w:left w:val="nil"/>
              <w:bottom w:val="single" w:sz="4" w:space="0" w:color="auto"/>
              <w:right w:val="nil"/>
            </w:tcBorders>
            <w:vAlign w:val="center"/>
          </w:tcPr>
          <w:p w:rsidR="006916DC" w:rsidRPr="00CA6939" w:rsidRDefault="006916DC" w:rsidP="00CA6939">
            <w:pPr>
              <w:spacing w:before="40"/>
              <w:jc w:val="center"/>
            </w:pPr>
            <w:r w:rsidRPr="00CA6939">
              <w:t>29,2</w:t>
            </w:r>
          </w:p>
        </w:tc>
        <w:tc>
          <w:tcPr>
            <w:tcW w:w="973" w:type="dxa"/>
            <w:tcBorders>
              <w:top w:val="nil"/>
              <w:left w:val="nil"/>
              <w:bottom w:val="single" w:sz="4" w:space="0" w:color="auto"/>
              <w:right w:val="nil"/>
            </w:tcBorders>
            <w:vAlign w:val="center"/>
          </w:tcPr>
          <w:p w:rsidR="006916DC" w:rsidRPr="00CA6939" w:rsidRDefault="006916DC" w:rsidP="00CA6939">
            <w:pPr>
              <w:spacing w:before="40"/>
              <w:jc w:val="center"/>
            </w:pPr>
            <w:r w:rsidRPr="00CA6939">
              <w:t>24,4</w:t>
            </w:r>
          </w:p>
        </w:tc>
        <w:tc>
          <w:tcPr>
            <w:tcW w:w="1133" w:type="dxa"/>
            <w:tcBorders>
              <w:top w:val="nil"/>
              <w:left w:val="nil"/>
              <w:bottom w:val="single" w:sz="4" w:space="0" w:color="auto"/>
              <w:right w:val="nil"/>
            </w:tcBorders>
            <w:vAlign w:val="center"/>
          </w:tcPr>
          <w:p w:rsidR="006916DC" w:rsidRPr="00CA6939" w:rsidRDefault="006916DC" w:rsidP="00CA6939">
            <w:pPr>
              <w:spacing w:before="40"/>
              <w:jc w:val="center"/>
            </w:pPr>
            <w:r w:rsidRPr="00CA6939">
              <w:t>13,6</w:t>
            </w:r>
          </w:p>
        </w:tc>
        <w:tc>
          <w:tcPr>
            <w:tcW w:w="1177" w:type="dxa"/>
            <w:tcBorders>
              <w:top w:val="nil"/>
              <w:left w:val="nil"/>
              <w:bottom w:val="single" w:sz="4" w:space="0" w:color="auto"/>
              <w:right w:val="nil"/>
            </w:tcBorders>
            <w:vAlign w:val="center"/>
          </w:tcPr>
          <w:p w:rsidR="006916DC" w:rsidRPr="00CA6939" w:rsidRDefault="006916DC" w:rsidP="00CA6939">
            <w:pPr>
              <w:spacing w:before="40"/>
              <w:jc w:val="center"/>
            </w:pPr>
            <w:r w:rsidRPr="00CA6939">
              <w:t>14,5</w:t>
            </w:r>
          </w:p>
        </w:tc>
        <w:tc>
          <w:tcPr>
            <w:tcW w:w="1123" w:type="dxa"/>
            <w:tcBorders>
              <w:top w:val="nil"/>
              <w:left w:val="nil"/>
              <w:bottom w:val="single" w:sz="4" w:space="0" w:color="auto"/>
              <w:right w:val="nil"/>
            </w:tcBorders>
            <w:vAlign w:val="center"/>
          </w:tcPr>
          <w:p w:rsidR="006916DC" w:rsidRPr="00CA6939" w:rsidRDefault="006916DC" w:rsidP="00CA6939">
            <w:pPr>
              <w:spacing w:before="40"/>
              <w:jc w:val="center"/>
            </w:pPr>
            <w:r w:rsidRPr="00CA6939">
              <w:t>3,2</w:t>
            </w:r>
          </w:p>
        </w:tc>
      </w:tr>
    </w:tbl>
    <w:p w:rsidR="006916DC" w:rsidRPr="00CA6939" w:rsidRDefault="006916DC" w:rsidP="00CA6939">
      <w:pPr>
        <w:spacing w:after="40"/>
      </w:pPr>
      <w:r w:rsidRPr="00CA6939">
        <w:rPr>
          <w:vertAlign w:val="superscript"/>
        </w:rPr>
        <w:t>(1)</w:t>
      </w:r>
      <w:r w:rsidRPr="00CA6939">
        <w:t xml:space="preserve">FV – fontes de variação; GL – graus de liberdade; CV – Coeficiente de variação. </w:t>
      </w:r>
      <w:r w:rsidRPr="00CA6939">
        <w:rPr>
          <w:vertAlign w:val="superscript"/>
        </w:rPr>
        <w:t>(2)</w:t>
      </w:r>
      <w:r w:rsidRPr="00CA6939">
        <w:t>AF (cm²), MFPA (g), MSPA (g) e SCPA (g H</w:t>
      </w:r>
      <w:r w:rsidRPr="00CA6939">
        <w:rPr>
          <w:vertAlign w:val="subscript"/>
        </w:rPr>
        <w:t>2</w:t>
      </w:r>
      <w:r w:rsidRPr="00CA6939">
        <w:t>0 g</w:t>
      </w:r>
      <w:r w:rsidRPr="00CA6939">
        <w:rPr>
          <w:vertAlign w:val="superscript"/>
        </w:rPr>
        <w:t>-1</w:t>
      </w:r>
      <w:r w:rsidRPr="00CA6939">
        <w:t xml:space="preserve"> MS), avaliados somente aos 40 DAS;</w:t>
      </w:r>
      <w:r w:rsidRPr="00CA6939">
        <w:rPr>
          <w:vertAlign w:val="superscript"/>
        </w:rPr>
        <w:t xml:space="preserve"> (3)</w:t>
      </w:r>
      <w:r w:rsidRPr="00CA6939">
        <w:t>TCA (g dia</w:t>
      </w:r>
      <w:r w:rsidRPr="00CA6939">
        <w:rPr>
          <w:vertAlign w:val="superscript"/>
        </w:rPr>
        <w:t>-1</w:t>
      </w:r>
      <w:r w:rsidRPr="00CA6939">
        <w:t>) e TCR (g g</w:t>
      </w:r>
      <w:r w:rsidRPr="00CA6939">
        <w:rPr>
          <w:vertAlign w:val="superscript"/>
        </w:rPr>
        <w:t>-1</w:t>
      </w:r>
      <w:r w:rsidRPr="00CA6939">
        <w:t xml:space="preserve"> dia</w:t>
      </w:r>
      <w:r w:rsidRPr="00CA6939">
        <w:rPr>
          <w:vertAlign w:val="superscript"/>
        </w:rPr>
        <w:t>-1</w:t>
      </w:r>
      <w:r w:rsidRPr="00CA6939">
        <w:t xml:space="preserve">) são referentes ao período de </w:t>
      </w:r>
      <w:smartTag w:uri="urn:schemas-microsoft-com:office:smarttags" w:element="metricconverter">
        <w:smartTagPr>
          <w:attr w:name="ProductID" w:val="30 a"/>
        </w:smartTagPr>
        <w:r w:rsidRPr="00CA6939">
          <w:t>30 a</w:t>
        </w:r>
      </w:smartTag>
      <w:r w:rsidRPr="00CA6939">
        <w:t xml:space="preserve"> 40 dias após a semeadura (DAS); e </w:t>
      </w:r>
      <w:r w:rsidRPr="00CA6939">
        <w:rPr>
          <w:vertAlign w:val="superscript"/>
        </w:rPr>
        <w:t>(4)</w:t>
      </w:r>
      <w:r w:rsidRPr="00CA6939">
        <w:t>**; * – Significativo pelo teste F (p</w:t>
      </w:r>
      <w:r w:rsidRPr="00CA6939">
        <w:sym w:font="Symbol" w:char="F0A3"/>
      </w:r>
      <w:r w:rsidRPr="00CA6939">
        <w:t>0,01 e p</w:t>
      </w:r>
      <w:r w:rsidRPr="00CA6939">
        <w:sym w:font="Symbol" w:char="F0A3"/>
      </w:r>
      <w:r w:rsidRPr="00CA6939">
        <w:t>0,05, respectivamente).</w:t>
      </w:r>
    </w:p>
    <w:p w:rsidR="006916DC" w:rsidRPr="00CA6939" w:rsidRDefault="006916DC" w:rsidP="00CA6939">
      <w:pPr>
        <w:ind w:firstLine="708"/>
      </w:pPr>
      <w:r w:rsidRPr="00CA6939">
        <w:t xml:space="preserve">A TCA aumentou com a presença de esterco bovino, incrementando 164 % quando comparado com o tratamento sem esterco (Figura 2A). Em relação às doses de manipueira (Figura 2B), a TCA apresentou tendência linear no período de </w:t>
      </w:r>
      <w:smartTag w:uri="urn:schemas-microsoft-com:office:smarttags" w:element="metricconverter">
        <w:smartTagPr>
          <w:attr w:name="ProductID" w:val="30 a"/>
        </w:smartTagPr>
        <w:r w:rsidRPr="00CA6939">
          <w:t>30 a</w:t>
        </w:r>
      </w:smartTag>
      <w:r w:rsidRPr="00CA6939">
        <w:t xml:space="preserve"> 40 DAS. Cerqueira et al. (2016), ao utilizar doses de nitrogênio com adição de esterco bovino no coentro ‘Verdão’, obtiveram TCA de </w:t>
      </w:r>
      <w:smartTag w:uri="urn:schemas-microsoft-com:office:smarttags" w:element="metricconverter">
        <w:smartTagPr>
          <w:attr w:name="ProductID" w:val="0,12 g"/>
        </w:smartTagPr>
        <w:r w:rsidRPr="00CA6939">
          <w:t>0,12 g</w:t>
        </w:r>
      </w:smartTag>
      <w:r w:rsidRPr="00CA6939">
        <w:t xml:space="preserve"> dia</w:t>
      </w:r>
      <w:r w:rsidRPr="00CA6939">
        <w:rPr>
          <w:vertAlign w:val="superscript"/>
        </w:rPr>
        <w:t>-1</w:t>
      </w:r>
      <w:r w:rsidRPr="00CA6939">
        <w:t xml:space="preserve"> no período de </w:t>
      </w:r>
      <w:smartTag w:uri="urn:schemas-microsoft-com:office:smarttags" w:element="metricconverter">
        <w:smartTagPr>
          <w:attr w:name="ProductID" w:val="32 a"/>
        </w:smartTagPr>
        <w:r w:rsidRPr="00CA6939">
          <w:t>32 a</w:t>
        </w:r>
      </w:smartTag>
      <w:r w:rsidRPr="00CA6939">
        <w:t xml:space="preserve"> 39 DAS.</w:t>
      </w:r>
    </w:p>
    <w:p w:rsidR="006916DC" w:rsidRPr="00CA6939" w:rsidRDefault="006916DC" w:rsidP="00CA6939"/>
    <w:p w:rsidR="006916DC" w:rsidRPr="00CA6939" w:rsidRDefault="006916DC" w:rsidP="00CA6939">
      <w:pPr>
        <w:pStyle w:val="Figura"/>
        <w:spacing w:line="360" w:lineRule="auto"/>
      </w:pPr>
      <w:bookmarkStart w:id="12" w:name="_Toc38211990"/>
      <w:r w:rsidRPr="00CA6939">
        <w:rPr>
          <w:b/>
        </w:rPr>
        <w:lastRenderedPageBreak/>
        <w:t>Figura 2</w:t>
      </w:r>
      <w:r w:rsidR="0063398D">
        <w:t xml:space="preserve"> </w:t>
      </w:r>
      <w:r w:rsidR="0063398D" w:rsidRPr="0063398D">
        <w:rPr>
          <w:b/>
        </w:rPr>
        <w:t>–</w:t>
      </w:r>
      <w:r w:rsidRPr="00CA6939">
        <w:t xml:space="preserve"> Médias das taxas de crescimento absoluto, no período de </w:t>
      </w:r>
      <w:smartTag w:uri="urn:schemas-microsoft-com:office:smarttags" w:element="metricconverter">
        <w:smartTagPr>
          <w:attr w:name="ProductID" w:val="30 a"/>
        </w:smartTagPr>
        <w:r w:rsidRPr="00CA6939">
          <w:t>30 a</w:t>
        </w:r>
      </w:smartTag>
      <w:r w:rsidRPr="00CA6939">
        <w:t xml:space="preserve"> 40 dias após a semeadura (DAS) do coentro ‘Verdão’, cultivado na presença e ausência de esterco bovino</w:t>
      </w:r>
      <w:r w:rsidRPr="00CA6939">
        <w:rPr>
          <w:vertAlign w:val="superscript"/>
        </w:rPr>
        <w:t>(1)</w:t>
      </w:r>
      <w:r w:rsidRPr="00CA6939">
        <w:t xml:space="preserve"> (A) e sob diferentes doses de manipueira (B), em Cruz das Almas-BA, 2019.</w:t>
      </w:r>
      <w:bookmarkEnd w:id="12"/>
      <w:r w:rsidRPr="00CA6939">
        <w:t xml:space="preserve">  </w:t>
      </w:r>
    </w:p>
    <w:tbl>
      <w:tblPr>
        <w:tblW w:w="0" w:type="auto"/>
        <w:tblLook w:val="04A0" w:firstRow="1" w:lastRow="0" w:firstColumn="1" w:lastColumn="0" w:noHBand="0" w:noVBand="1"/>
      </w:tblPr>
      <w:tblGrid>
        <w:gridCol w:w="4331"/>
        <w:gridCol w:w="4173"/>
      </w:tblGrid>
      <w:tr w:rsidR="006916DC" w:rsidRPr="00CA6939" w:rsidTr="006155BD">
        <w:tc>
          <w:tcPr>
            <w:tcW w:w="4670" w:type="dxa"/>
          </w:tcPr>
          <w:p w:rsidR="006916DC" w:rsidRPr="00CA6939" w:rsidRDefault="006916DC" w:rsidP="00CA6939">
            <w:r w:rsidRPr="00CA6939">
              <w:t>A.</w:t>
            </w:r>
          </w:p>
        </w:tc>
        <w:tc>
          <w:tcPr>
            <w:tcW w:w="4391" w:type="dxa"/>
          </w:tcPr>
          <w:p w:rsidR="006916DC" w:rsidRPr="00CA6939" w:rsidRDefault="006916DC" w:rsidP="00CA6939">
            <w:r w:rsidRPr="00CA6939">
              <w:t>B.</w:t>
            </w:r>
          </w:p>
        </w:tc>
      </w:tr>
      <w:tr w:rsidR="006916DC" w:rsidRPr="00CA6939" w:rsidTr="006155BD">
        <w:tc>
          <w:tcPr>
            <w:tcW w:w="4670" w:type="dxa"/>
            <w:tcMar>
              <w:top w:w="0" w:type="dxa"/>
              <w:left w:w="70" w:type="dxa"/>
              <w:bottom w:w="0" w:type="dxa"/>
              <w:right w:w="70" w:type="dxa"/>
            </w:tcMar>
          </w:tcPr>
          <w:p w:rsidR="006916DC" w:rsidRPr="00CA6939" w:rsidRDefault="006916DC" w:rsidP="00CA6939">
            <w:r w:rsidRPr="00CA6939">
              <w:rPr>
                <w:noProof/>
                <w:lang w:eastAsia="pt-BR"/>
              </w:rPr>
              <w:drawing>
                <wp:inline distT="0" distB="0" distL="0" distR="0">
                  <wp:extent cx="2966720" cy="2120900"/>
                  <wp:effectExtent l="0" t="0" r="508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66720" cy="2120900"/>
                          </a:xfrm>
                          <a:prstGeom prst="rect">
                            <a:avLst/>
                          </a:prstGeom>
                          <a:noFill/>
                          <a:ln>
                            <a:noFill/>
                          </a:ln>
                        </pic:spPr>
                      </pic:pic>
                    </a:graphicData>
                  </a:graphic>
                </wp:inline>
              </w:drawing>
            </w:r>
          </w:p>
        </w:tc>
        <w:tc>
          <w:tcPr>
            <w:tcW w:w="4391" w:type="dxa"/>
            <w:tcMar>
              <w:top w:w="0" w:type="dxa"/>
              <w:left w:w="70" w:type="dxa"/>
              <w:bottom w:w="0" w:type="dxa"/>
              <w:right w:w="70" w:type="dxa"/>
            </w:tcMar>
          </w:tcPr>
          <w:p w:rsidR="006916DC" w:rsidRPr="00CA6939" w:rsidRDefault="006916DC" w:rsidP="00CA6939">
            <w:r w:rsidRPr="00CA6939">
              <w:rPr>
                <w:noProof/>
                <w:lang w:eastAsia="pt-BR"/>
              </w:rPr>
              <w:drawing>
                <wp:inline distT="0" distB="0" distL="0" distR="0">
                  <wp:extent cx="2860040" cy="2130425"/>
                  <wp:effectExtent l="0" t="0" r="0" b="317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60040" cy="2130425"/>
                          </a:xfrm>
                          <a:prstGeom prst="rect">
                            <a:avLst/>
                          </a:prstGeom>
                          <a:noFill/>
                          <a:ln>
                            <a:noFill/>
                          </a:ln>
                        </pic:spPr>
                      </pic:pic>
                    </a:graphicData>
                  </a:graphic>
                </wp:inline>
              </w:drawing>
            </w:r>
          </w:p>
        </w:tc>
      </w:tr>
    </w:tbl>
    <w:p w:rsidR="006916DC" w:rsidRPr="00CA6939" w:rsidRDefault="006916DC" w:rsidP="00CA6939">
      <w:pPr>
        <w:spacing w:before="40"/>
      </w:pPr>
      <w:r w:rsidRPr="00CA6939">
        <w:rPr>
          <w:vertAlign w:val="superscript"/>
        </w:rPr>
        <w:t>(1)</w:t>
      </w:r>
      <w:r w:rsidRPr="00CA6939">
        <w:t>Médias seguidas pela mesma letra não diferem estatisticamente entre si, pelo teste de Tukey (p</w:t>
      </w:r>
      <w:r w:rsidRPr="00CA6939">
        <w:sym w:font="Symbol" w:char="F0A3"/>
      </w:r>
      <w:r w:rsidRPr="00CA6939">
        <w:t>0,05).</w:t>
      </w:r>
    </w:p>
    <w:p w:rsidR="006916DC" w:rsidRPr="00CA6939" w:rsidRDefault="006916DC" w:rsidP="00CA6939">
      <w:bookmarkStart w:id="13" w:name="_GoBack"/>
      <w:bookmarkEnd w:id="13"/>
    </w:p>
    <w:p w:rsidR="006916DC" w:rsidRPr="00CA6939" w:rsidRDefault="006916DC" w:rsidP="00CA6939">
      <w:pPr>
        <w:ind w:firstLine="708"/>
      </w:pPr>
      <w:r w:rsidRPr="00CA6939">
        <w:t>Com o desdobramento da interação significativa entre doses de manipueira na ausência e presença de esterco bovino foi possível observar que os tratamentos com adição de esterco proporcionaram maior AF, TCR, MFPA, MSPA e SCPA. Observou-se tendência quadrática para as referidas variáveis na presença de esterco bovino e linear para AF, MFPA e MSPA na ausência de esterco bovino (Figura 3).</w:t>
      </w:r>
    </w:p>
    <w:p w:rsidR="006916DC" w:rsidRDefault="006916DC" w:rsidP="00CA6939">
      <w:pPr>
        <w:ind w:firstLine="708"/>
      </w:pPr>
      <w:r w:rsidRPr="00CA6939">
        <w:t xml:space="preserve">A derivada da equação mostrou que a dose de </w:t>
      </w:r>
      <w:smartTag w:uri="urn:schemas-microsoft-com:office:smarttags" w:element="metricconverter">
        <w:smartTagPr>
          <w:attr w:name="ProductID" w:val="45 mﾳ"/>
        </w:smartTagPr>
        <w:r w:rsidRPr="00CA6939">
          <w:t>45 m³</w:t>
        </w:r>
      </w:smartTag>
      <w:r w:rsidRPr="00CA6939">
        <w:t xml:space="preserve"> ha</w:t>
      </w:r>
      <w:r w:rsidRPr="00CA6939">
        <w:rPr>
          <w:vertAlign w:val="superscript"/>
        </w:rPr>
        <w:t>-1</w:t>
      </w:r>
      <w:r w:rsidRPr="00CA6939">
        <w:t xml:space="preserve">, em conjunto com a adição de esterco bovino, é a ideal para a variável AF, proporcionando área equivalente a 242 cm² (Figura 3A). Duarte et al. (2012) averiguaram que a AF da alface foi influenciada pelas diferentes doses de manipueira, exprimindo valor máximo também com a aplicação de </w:t>
      </w:r>
      <w:smartTag w:uri="urn:schemas-microsoft-com:office:smarttags" w:element="metricconverter">
        <w:smartTagPr>
          <w:attr w:name="ProductID" w:val="45 mﾳ"/>
        </w:smartTagPr>
        <w:r w:rsidRPr="00CA6939">
          <w:t>45 m³</w:t>
        </w:r>
      </w:smartTag>
      <w:r w:rsidRPr="00CA6939">
        <w:t xml:space="preserve"> ha</w:t>
      </w:r>
      <w:r w:rsidRPr="00CA6939">
        <w:rPr>
          <w:vertAlign w:val="superscript"/>
        </w:rPr>
        <w:t>-1</w:t>
      </w:r>
      <w:r w:rsidRPr="00CA6939">
        <w:t>. Estudos realizados por Cerqueira et al. (2016) demonstraram comportamento linear para o aumento da AF do coentro ‘Verdão’ adubado com esterco bovino e diferentes doses de nitrogênio, com AF de 125 cm² aos 39 DAS, chegando a 290 cm² aos 53 DAS.</w:t>
      </w:r>
    </w:p>
    <w:p w:rsidR="00D142DC" w:rsidRPr="0063398D" w:rsidRDefault="00D142DC" w:rsidP="00CA6939">
      <w:pPr>
        <w:ind w:firstLine="708"/>
        <w:rPr>
          <w:b/>
        </w:rPr>
      </w:pPr>
    </w:p>
    <w:p w:rsidR="006916DC" w:rsidRPr="00CA6939" w:rsidRDefault="006916DC" w:rsidP="00CA6939">
      <w:pPr>
        <w:pStyle w:val="Figura"/>
        <w:spacing w:line="360" w:lineRule="auto"/>
      </w:pPr>
      <w:bookmarkStart w:id="14" w:name="_Toc38211991"/>
      <w:r w:rsidRPr="0063398D">
        <w:rPr>
          <w:b/>
        </w:rPr>
        <w:t>Figura 3</w:t>
      </w:r>
      <w:r w:rsidR="0063398D">
        <w:t xml:space="preserve"> </w:t>
      </w:r>
      <w:r w:rsidR="0063398D" w:rsidRPr="0063398D">
        <w:rPr>
          <w:b/>
        </w:rPr>
        <w:t>–</w:t>
      </w:r>
      <w:r w:rsidRPr="00CA6939">
        <w:t xml:space="preserve"> Desdobramento da interação em função das doses de manipueira na ausência (Y</w:t>
      </w:r>
      <w:r w:rsidRPr="00CA6939">
        <w:rPr>
          <w:vertAlign w:val="subscript"/>
        </w:rPr>
        <w:t>1</w:t>
      </w:r>
      <w:r w:rsidRPr="00CA6939">
        <w:t>) e na presença (Y</w:t>
      </w:r>
      <w:r w:rsidRPr="00CA6939">
        <w:rPr>
          <w:vertAlign w:val="subscript"/>
        </w:rPr>
        <w:t>2</w:t>
      </w:r>
      <w:r w:rsidRPr="00CA6939">
        <w:t xml:space="preserve">) de esterco bovino para as variáveis: área foliar (A), taxa de </w:t>
      </w:r>
      <w:r w:rsidRPr="00CA6939">
        <w:lastRenderedPageBreak/>
        <w:t>crescimento relativo</w:t>
      </w:r>
      <w:r w:rsidRPr="00CA6939">
        <w:rPr>
          <w:vertAlign w:val="superscript"/>
        </w:rPr>
        <w:t>1</w:t>
      </w:r>
      <w:r w:rsidRPr="00CA6939">
        <w:t xml:space="preserve"> (B), massa fresca da parte aérea (C), massa seca da parte aérea (D) e suculência da parte aérea (E) do coentro ‘Verdão’ aos 40 dias após a semeadura (DAS), em Cruz das Almas-BA, 2019.</w:t>
      </w:r>
      <w:bookmarkEnd w:id="14"/>
    </w:p>
    <w:tbl>
      <w:tblPr>
        <w:tblW w:w="0" w:type="auto"/>
        <w:tblLook w:val="04A0" w:firstRow="1" w:lastRow="0" w:firstColumn="1" w:lastColumn="0" w:noHBand="0" w:noVBand="1"/>
      </w:tblPr>
      <w:tblGrid>
        <w:gridCol w:w="4252"/>
        <w:gridCol w:w="4252"/>
      </w:tblGrid>
      <w:tr w:rsidR="006916DC" w:rsidRPr="00CA6939" w:rsidTr="006155BD">
        <w:trPr>
          <w:trHeight w:val="257"/>
        </w:trPr>
        <w:tc>
          <w:tcPr>
            <w:tcW w:w="4643" w:type="dxa"/>
          </w:tcPr>
          <w:p w:rsidR="006916DC" w:rsidRPr="00CA6939" w:rsidRDefault="006916DC" w:rsidP="00CA6939">
            <w:r w:rsidRPr="00CA6939">
              <w:t>A.</w:t>
            </w:r>
          </w:p>
        </w:tc>
        <w:tc>
          <w:tcPr>
            <w:tcW w:w="4643" w:type="dxa"/>
          </w:tcPr>
          <w:p w:rsidR="006916DC" w:rsidRPr="00CA6939" w:rsidRDefault="006916DC" w:rsidP="00CA6939">
            <w:r w:rsidRPr="00CA6939">
              <w:t>B.</w:t>
            </w:r>
          </w:p>
        </w:tc>
      </w:tr>
      <w:tr w:rsidR="006916DC" w:rsidRPr="00CA6939" w:rsidTr="006155BD">
        <w:trPr>
          <w:trHeight w:val="3229"/>
        </w:trPr>
        <w:tc>
          <w:tcPr>
            <w:tcW w:w="4643" w:type="dxa"/>
          </w:tcPr>
          <w:p w:rsidR="006916DC" w:rsidRPr="00CA6939" w:rsidRDefault="006916DC" w:rsidP="00CA6939">
            <w:r w:rsidRPr="00CA6939">
              <w:rPr>
                <w:noProof/>
                <w:lang w:eastAsia="pt-BR"/>
              </w:rPr>
              <w:drawing>
                <wp:inline distT="0" distB="0" distL="0" distR="0">
                  <wp:extent cx="2860040" cy="21399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60040" cy="2139950"/>
                          </a:xfrm>
                          <a:prstGeom prst="rect">
                            <a:avLst/>
                          </a:prstGeom>
                          <a:noFill/>
                          <a:ln>
                            <a:noFill/>
                          </a:ln>
                        </pic:spPr>
                      </pic:pic>
                    </a:graphicData>
                  </a:graphic>
                </wp:inline>
              </w:drawing>
            </w:r>
          </w:p>
        </w:tc>
        <w:tc>
          <w:tcPr>
            <w:tcW w:w="4643" w:type="dxa"/>
          </w:tcPr>
          <w:p w:rsidR="006916DC" w:rsidRPr="00CA6939" w:rsidRDefault="006916DC" w:rsidP="00CA6939">
            <w:r w:rsidRPr="00CA6939">
              <w:rPr>
                <w:noProof/>
                <w:lang w:eastAsia="pt-BR"/>
              </w:rPr>
              <w:drawing>
                <wp:inline distT="0" distB="0" distL="0" distR="0">
                  <wp:extent cx="2860040" cy="21399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60040" cy="2139950"/>
                          </a:xfrm>
                          <a:prstGeom prst="rect">
                            <a:avLst/>
                          </a:prstGeom>
                          <a:noFill/>
                          <a:ln>
                            <a:noFill/>
                          </a:ln>
                        </pic:spPr>
                      </pic:pic>
                    </a:graphicData>
                  </a:graphic>
                </wp:inline>
              </w:drawing>
            </w:r>
          </w:p>
        </w:tc>
      </w:tr>
      <w:tr w:rsidR="006916DC" w:rsidRPr="00CA6939" w:rsidTr="006155BD">
        <w:trPr>
          <w:trHeight w:val="273"/>
        </w:trPr>
        <w:tc>
          <w:tcPr>
            <w:tcW w:w="4643" w:type="dxa"/>
          </w:tcPr>
          <w:p w:rsidR="006916DC" w:rsidRPr="00CA6939" w:rsidRDefault="006916DC" w:rsidP="00CA6939">
            <w:r w:rsidRPr="00CA6939">
              <w:t>C.</w:t>
            </w:r>
          </w:p>
        </w:tc>
        <w:tc>
          <w:tcPr>
            <w:tcW w:w="4643" w:type="dxa"/>
          </w:tcPr>
          <w:p w:rsidR="006916DC" w:rsidRPr="00CA6939" w:rsidRDefault="006916DC" w:rsidP="00CA6939">
            <w:r w:rsidRPr="00CA6939">
              <w:t>D.</w:t>
            </w:r>
          </w:p>
        </w:tc>
      </w:tr>
      <w:tr w:rsidR="006916DC" w:rsidRPr="00CA6939" w:rsidTr="006155BD">
        <w:trPr>
          <w:trHeight w:val="3229"/>
        </w:trPr>
        <w:tc>
          <w:tcPr>
            <w:tcW w:w="4643" w:type="dxa"/>
          </w:tcPr>
          <w:p w:rsidR="006916DC" w:rsidRPr="00CA6939" w:rsidRDefault="006916DC" w:rsidP="00CA6939">
            <w:r w:rsidRPr="00CA6939">
              <w:rPr>
                <w:noProof/>
                <w:lang w:eastAsia="pt-BR"/>
              </w:rPr>
              <w:drawing>
                <wp:inline distT="0" distB="0" distL="0" distR="0">
                  <wp:extent cx="2860040" cy="21399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0040" cy="2139950"/>
                          </a:xfrm>
                          <a:prstGeom prst="rect">
                            <a:avLst/>
                          </a:prstGeom>
                          <a:noFill/>
                          <a:ln>
                            <a:noFill/>
                          </a:ln>
                        </pic:spPr>
                      </pic:pic>
                    </a:graphicData>
                  </a:graphic>
                </wp:inline>
              </w:drawing>
            </w:r>
          </w:p>
        </w:tc>
        <w:tc>
          <w:tcPr>
            <w:tcW w:w="4643" w:type="dxa"/>
          </w:tcPr>
          <w:p w:rsidR="006916DC" w:rsidRPr="00CA6939" w:rsidRDefault="006916DC" w:rsidP="00CA6939">
            <w:r w:rsidRPr="00CA6939">
              <w:rPr>
                <w:noProof/>
                <w:lang w:eastAsia="pt-BR"/>
              </w:rPr>
              <w:drawing>
                <wp:inline distT="0" distB="0" distL="0" distR="0">
                  <wp:extent cx="2860040" cy="21399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60040" cy="2139950"/>
                          </a:xfrm>
                          <a:prstGeom prst="rect">
                            <a:avLst/>
                          </a:prstGeom>
                          <a:noFill/>
                          <a:ln>
                            <a:noFill/>
                          </a:ln>
                        </pic:spPr>
                      </pic:pic>
                    </a:graphicData>
                  </a:graphic>
                </wp:inline>
              </w:drawing>
            </w:r>
          </w:p>
        </w:tc>
      </w:tr>
      <w:tr w:rsidR="006916DC" w:rsidRPr="00CA6939" w:rsidTr="006155BD">
        <w:trPr>
          <w:trHeight w:val="257"/>
        </w:trPr>
        <w:tc>
          <w:tcPr>
            <w:tcW w:w="4643" w:type="dxa"/>
          </w:tcPr>
          <w:p w:rsidR="006916DC" w:rsidRPr="00CA6939" w:rsidRDefault="006916DC" w:rsidP="00CA6939">
            <w:pPr>
              <w:jc w:val="center"/>
            </w:pPr>
            <w:r w:rsidRPr="00CA6939">
              <w:t xml:space="preserve">           E.</w:t>
            </w:r>
          </w:p>
        </w:tc>
        <w:tc>
          <w:tcPr>
            <w:tcW w:w="4643" w:type="dxa"/>
          </w:tcPr>
          <w:p w:rsidR="006916DC" w:rsidRPr="00CA6939" w:rsidRDefault="006916DC" w:rsidP="00CA6939"/>
        </w:tc>
      </w:tr>
      <w:tr w:rsidR="006916DC" w:rsidRPr="00CA6939" w:rsidTr="006155BD">
        <w:trPr>
          <w:trHeight w:val="3229"/>
        </w:trPr>
        <w:tc>
          <w:tcPr>
            <w:tcW w:w="9286" w:type="dxa"/>
            <w:gridSpan w:val="2"/>
          </w:tcPr>
          <w:p w:rsidR="006916DC" w:rsidRPr="00CA6939" w:rsidRDefault="006916DC" w:rsidP="00CA6939">
            <w:pPr>
              <w:jc w:val="center"/>
            </w:pPr>
            <w:r w:rsidRPr="00CA6939">
              <w:rPr>
                <w:noProof/>
                <w:lang w:eastAsia="pt-BR"/>
              </w:rPr>
              <w:drawing>
                <wp:inline distT="0" distB="0" distL="0" distR="0">
                  <wp:extent cx="2860040" cy="21399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60040" cy="2139950"/>
                          </a:xfrm>
                          <a:prstGeom prst="rect">
                            <a:avLst/>
                          </a:prstGeom>
                          <a:noFill/>
                          <a:ln>
                            <a:noFill/>
                          </a:ln>
                        </pic:spPr>
                      </pic:pic>
                    </a:graphicData>
                  </a:graphic>
                </wp:inline>
              </w:drawing>
            </w:r>
          </w:p>
        </w:tc>
      </w:tr>
    </w:tbl>
    <w:p w:rsidR="006916DC" w:rsidRPr="00CA6939" w:rsidRDefault="006916DC" w:rsidP="00CA6939">
      <w:pPr>
        <w:spacing w:before="40"/>
      </w:pPr>
      <w:r w:rsidRPr="00CA6939">
        <w:rPr>
          <w:vertAlign w:val="superscript"/>
        </w:rPr>
        <w:lastRenderedPageBreak/>
        <w:t>(1)</w:t>
      </w:r>
      <w:r w:rsidRPr="00CA6939">
        <w:t xml:space="preserve">TCR refere-se ao período de </w:t>
      </w:r>
      <w:smartTag w:uri="urn:schemas-microsoft-com:office:smarttags" w:element="metricconverter">
        <w:smartTagPr>
          <w:attr w:name="ProductID" w:val="30 a"/>
        </w:smartTagPr>
        <w:r w:rsidRPr="00CA6939">
          <w:t>30 a</w:t>
        </w:r>
      </w:smartTag>
      <w:r w:rsidRPr="00CA6939">
        <w:t xml:space="preserve"> 40 dias após a semeadura, e AF, MFPA, MSPA e SCPA foram avaliados somente aos 40 DAS.</w:t>
      </w:r>
    </w:p>
    <w:p w:rsidR="006916DC" w:rsidRPr="00CA6939" w:rsidRDefault="006916DC" w:rsidP="00CA6939"/>
    <w:p w:rsidR="006916DC" w:rsidRPr="00CA6939" w:rsidRDefault="006916DC" w:rsidP="00CA6939">
      <w:pPr>
        <w:ind w:firstLine="708"/>
      </w:pPr>
      <w:r w:rsidRPr="00CA6939">
        <w:t xml:space="preserve">Conforme a derivada da equação de regressão, a dose que proporcionaria maior TCR seria de </w:t>
      </w:r>
      <w:smartTag w:uri="urn:schemas-microsoft-com:office:smarttags" w:element="metricconverter">
        <w:smartTagPr>
          <w:attr w:name="ProductID" w:val="37,5 mﾳ"/>
        </w:smartTagPr>
        <w:r w:rsidRPr="00CA6939">
          <w:t>37,5 m³</w:t>
        </w:r>
      </w:smartTag>
      <w:r w:rsidRPr="00CA6939">
        <w:t xml:space="preserve"> ha</w:t>
      </w:r>
      <w:r w:rsidRPr="00CA6939">
        <w:rPr>
          <w:vertAlign w:val="superscript"/>
        </w:rPr>
        <w:t>-1</w:t>
      </w:r>
      <w:r w:rsidRPr="00CA6939">
        <w:t xml:space="preserve"> na ausência de esterco bovino e de </w:t>
      </w:r>
      <w:smartTag w:uri="urn:schemas-microsoft-com:office:smarttags" w:element="metricconverter">
        <w:smartTagPr>
          <w:attr w:name="ProductID" w:val="36,7 mﾳ"/>
        </w:smartTagPr>
        <w:r w:rsidRPr="00CA6939">
          <w:t>36,7 m³</w:t>
        </w:r>
      </w:smartTag>
      <w:r w:rsidRPr="00CA6939">
        <w:t xml:space="preserve"> ha</w:t>
      </w:r>
      <w:r w:rsidRPr="00CA6939">
        <w:rPr>
          <w:vertAlign w:val="superscript"/>
        </w:rPr>
        <w:t>-1</w:t>
      </w:r>
      <w:r w:rsidRPr="00CA6939">
        <w:t xml:space="preserve"> na presença de esterco bovino, para o período de </w:t>
      </w:r>
      <w:smartTag w:uri="urn:schemas-microsoft-com:office:smarttags" w:element="metricconverter">
        <w:smartTagPr>
          <w:attr w:name="ProductID" w:val="30 a"/>
        </w:smartTagPr>
        <w:r w:rsidRPr="00CA6939">
          <w:t>30 a</w:t>
        </w:r>
      </w:smartTag>
      <w:r w:rsidRPr="00CA6939">
        <w:t xml:space="preserve"> 40 DAS (Figura 3B), atingindo valores máximos de 0,082 e </w:t>
      </w:r>
      <w:smartTag w:uri="urn:schemas-microsoft-com:office:smarttags" w:element="metricconverter">
        <w:smartTagPr>
          <w:attr w:name="ProductID" w:val="0,098 g"/>
        </w:smartTagPr>
        <w:r w:rsidRPr="00CA6939">
          <w:t>0,098 g</w:t>
        </w:r>
      </w:smartTag>
      <w:r w:rsidRPr="00CA6939">
        <w:t xml:space="preserve"> g</w:t>
      </w:r>
      <w:r w:rsidRPr="00CA6939">
        <w:rPr>
          <w:vertAlign w:val="superscript"/>
        </w:rPr>
        <w:t>-1</w:t>
      </w:r>
      <w:r w:rsidRPr="00CA6939">
        <w:t xml:space="preserve"> dia</w:t>
      </w:r>
      <w:r w:rsidRPr="00CA6939">
        <w:rPr>
          <w:vertAlign w:val="superscript"/>
        </w:rPr>
        <w:t>-1</w:t>
      </w:r>
      <w:r w:rsidRPr="00CA6939">
        <w:t>, respectivamente. Cerqueira et al. (2016) avaliaram a resposta do coentro ‘Verdão’ submetido a diferentes doses de nitrogênio, na presença de esterco bovino, e observaram que as maiores taxas de TCR (</w:t>
      </w:r>
      <w:smartTag w:uri="urn:schemas-microsoft-com:office:smarttags" w:element="metricconverter">
        <w:smartTagPr>
          <w:attr w:name="ProductID" w:val="0,20 g"/>
        </w:smartTagPr>
        <w:r w:rsidRPr="00CA6939">
          <w:t>0,20 g</w:t>
        </w:r>
      </w:smartTag>
      <w:r w:rsidRPr="00CA6939">
        <w:t xml:space="preserve"> g</w:t>
      </w:r>
      <w:r w:rsidRPr="00CA6939">
        <w:rPr>
          <w:vertAlign w:val="superscript"/>
        </w:rPr>
        <w:t>-1</w:t>
      </w:r>
      <w:r w:rsidRPr="00CA6939">
        <w:t xml:space="preserve"> dia</w:t>
      </w:r>
      <w:r w:rsidRPr="00CA6939">
        <w:rPr>
          <w:vertAlign w:val="superscript"/>
        </w:rPr>
        <w:t>-1</w:t>
      </w:r>
      <w:r w:rsidRPr="00CA6939">
        <w:t xml:space="preserve">) ocorreram entre os 32 e 39 DAS, com aplicação de </w:t>
      </w:r>
      <w:smartTag w:uri="urn:schemas-microsoft-com:office:smarttags" w:element="metricconverter">
        <w:smartTagPr>
          <w:attr w:name="ProductID" w:val="60 kg"/>
        </w:smartTagPr>
        <w:r w:rsidRPr="00CA6939">
          <w:t>60 kg</w:t>
        </w:r>
      </w:smartTag>
      <w:r w:rsidRPr="00CA6939">
        <w:t xml:space="preserve"> ha</w:t>
      </w:r>
      <w:r w:rsidRPr="00CA6939">
        <w:rPr>
          <w:vertAlign w:val="superscript"/>
        </w:rPr>
        <w:t>-1</w:t>
      </w:r>
      <w:r w:rsidRPr="00CA6939">
        <w:t xml:space="preserve"> de nitrogênio. </w:t>
      </w:r>
    </w:p>
    <w:p w:rsidR="006916DC" w:rsidRPr="00CA6939" w:rsidRDefault="006916DC" w:rsidP="00CA6939">
      <w:pPr>
        <w:ind w:firstLine="708"/>
      </w:pPr>
      <w:r w:rsidRPr="00CA6939">
        <w:t xml:space="preserve">O maior acúmulo de MFPA e MSPA seria proporcionado pela aplicação de 47,7 e </w:t>
      </w:r>
      <w:smartTag w:uri="urn:schemas-microsoft-com:office:smarttags" w:element="metricconverter">
        <w:smartTagPr>
          <w:attr w:name="ProductID" w:val="36,8 mﾳ"/>
        </w:smartTagPr>
        <w:r w:rsidRPr="00CA6939">
          <w:t>36,8 m³</w:t>
        </w:r>
      </w:smartTag>
      <w:r w:rsidRPr="00CA6939">
        <w:t xml:space="preserve"> ha</w:t>
      </w:r>
      <w:r w:rsidRPr="00CA6939">
        <w:rPr>
          <w:vertAlign w:val="superscript"/>
        </w:rPr>
        <w:t>-1</w:t>
      </w:r>
      <w:r w:rsidRPr="00CA6939">
        <w:t xml:space="preserve"> de manipueira, respectivamente, na presença de esterco bovino (Figura </w:t>
      </w:r>
      <w:smartTag w:uri="urn:schemas-microsoft-com:office:smarttags" w:element="metricconverter">
        <w:smartTagPr>
          <w:attr w:name="ProductID" w:val="3C"/>
        </w:smartTagPr>
        <w:r w:rsidRPr="00CA6939">
          <w:t>3C</w:t>
        </w:r>
      </w:smartTag>
      <w:r w:rsidRPr="00CA6939">
        <w:t xml:space="preserve"> e 3D), atingindo valores máximos de 6,68 e </w:t>
      </w:r>
      <w:smartTag w:uri="urn:schemas-microsoft-com:office:smarttags" w:element="metricconverter">
        <w:smartTagPr>
          <w:attr w:name="ProductID" w:val="0,72 g"/>
        </w:smartTagPr>
        <w:r w:rsidRPr="00CA6939">
          <w:t>0,72 g</w:t>
        </w:r>
      </w:smartTag>
      <w:r w:rsidRPr="00CA6939">
        <w:t xml:space="preserve">, respectivamente. Na ausência de esterco bovino, a dose de </w:t>
      </w:r>
      <w:smartTag w:uri="urn:schemas-microsoft-com:office:smarttags" w:element="metricconverter">
        <w:smartTagPr>
          <w:attr w:name="ProductID" w:val="60 mﾳ"/>
        </w:smartTagPr>
        <w:r w:rsidRPr="00CA6939">
          <w:t>60 m³</w:t>
        </w:r>
      </w:smartTag>
      <w:r w:rsidRPr="00CA6939">
        <w:t xml:space="preserve"> ha</w:t>
      </w:r>
      <w:r w:rsidRPr="00CA6939">
        <w:rPr>
          <w:vertAlign w:val="superscript"/>
        </w:rPr>
        <w:t>-1</w:t>
      </w:r>
      <w:r w:rsidRPr="00CA6939">
        <w:t xml:space="preserve"> de manipueira foi a que proporcionou maior incremento nas massas fresca e seca, correspondendo à produção de 3,66 e </w:t>
      </w:r>
      <w:smartTag w:uri="urn:schemas-microsoft-com:office:smarttags" w:element="metricconverter">
        <w:smartTagPr>
          <w:attr w:name="ProductID" w:val="0,45 g"/>
        </w:smartTagPr>
        <w:r w:rsidRPr="00CA6939">
          <w:t>0,45 g</w:t>
        </w:r>
      </w:smartTag>
      <w:r w:rsidRPr="00CA6939">
        <w:t xml:space="preserve">, respectivamente, pois o modelo de regressão ajustado foi linear positivo e essa dose foi a máxima aplicada; daí em diante é impossível prever o comportamento dessas duas variáveis. Duarte et al. (2012), ao estudar a influência da aplicação de doses de manipueira na produção de fitomassa de alface, observaram maior incremento de massa fresca e seca com aplicação de </w:t>
      </w:r>
      <w:smartTag w:uri="urn:schemas-microsoft-com:office:smarttags" w:element="metricconverter">
        <w:smartTagPr>
          <w:attr w:name="ProductID" w:val="45 mﾳ"/>
        </w:smartTagPr>
        <w:r w:rsidRPr="00CA6939">
          <w:t>45 m³</w:t>
        </w:r>
      </w:smartTag>
      <w:r w:rsidRPr="00CA6939">
        <w:t xml:space="preserve"> ha</w:t>
      </w:r>
      <w:r w:rsidRPr="00CA6939">
        <w:rPr>
          <w:vertAlign w:val="superscript"/>
        </w:rPr>
        <w:t>-1</w:t>
      </w:r>
      <w:r w:rsidRPr="00CA6939">
        <w:t xml:space="preserve"> de manipueira, tendendo à redução com aplicação de doses superiores. A dose de 600 mL m</w:t>
      </w:r>
      <w:r w:rsidRPr="00CA6939">
        <w:rPr>
          <w:vertAlign w:val="superscript"/>
        </w:rPr>
        <w:t>-</w:t>
      </w:r>
      <w:r w:rsidRPr="00CA6939">
        <w:t>² (</w:t>
      </w:r>
      <w:smartTag w:uri="urn:schemas-microsoft-com:office:smarttags" w:element="metricconverter">
        <w:smartTagPr>
          <w:attr w:name="ProductID" w:val="6 m3"/>
        </w:smartTagPr>
        <w:r w:rsidRPr="00CA6939">
          <w:t>6 m</w:t>
        </w:r>
        <w:r w:rsidRPr="00CA6939">
          <w:rPr>
            <w:vertAlign w:val="superscript"/>
          </w:rPr>
          <w:t>3</w:t>
        </w:r>
      </w:smartTag>
      <w:r w:rsidRPr="00CA6939">
        <w:t xml:space="preserve"> ha</w:t>
      </w:r>
      <w:r w:rsidRPr="00CA6939">
        <w:rPr>
          <w:vertAlign w:val="superscript"/>
        </w:rPr>
        <w:t>-1</w:t>
      </w:r>
      <w:r w:rsidRPr="00CA6939">
        <w:t xml:space="preserve">) de manipueira foi a que proporcionou maior conteúdo de fitomassa fresca e seca na rúcula (BEZERRA; BEZERRA, 2016). </w:t>
      </w:r>
    </w:p>
    <w:p w:rsidR="006916DC" w:rsidRPr="00CA6939" w:rsidRDefault="006916DC" w:rsidP="00CA6939">
      <w:pPr>
        <w:ind w:firstLine="708"/>
      </w:pPr>
      <w:r w:rsidRPr="00CA6939">
        <w:t xml:space="preserve">A dose ideal para a variável SCPA na ausência de esterco foi equivalente a  </w:t>
      </w:r>
      <w:smartTag w:uri="urn:schemas-microsoft-com:office:smarttags" w:element="metricconverter">
        <w:smartTagPr>
          <w:attr w:name="ProductID" w:val="26,5 mﾳ"/>
        </w:smartTagPr>
        <w:r w:rsidRPr="00CA6939">
          <w:t>26,5 m³</w:t>
        </w:r>
      </w:smartTag>
      <w:r w:rsidRPr="00CA6939">
        <w:t xml:space="preserve"> ha</w:t>
      </w:r>
      <w:r w:rsidRPr="00CA6939">
        <w:rPr>
          <w:vertAlign w:val="superscript"/>
        </w:rPr>
        <w:t>-1</w:t>
      </w:r>
      <w:r w:rsidRPr="00CA6939">
        <w:t xml:space="preserve"> e a </w:t>
      </w:r>
      <w:smartTag w:uri="urn:schemas-microsoft-com:office:smarttags" w:element="metricconverter">
        <w:smartTagPr>
          <w:attr w:name="ProductID" w:val="45,8 mﾳ"/>
        </w:smartTagPr>
        <w:r w:rsidRPr="00CA6939">
          <w:t>45,8 m³</w:t>
        </w:r>
      </w:smartTag>
      <w:r w:rsidRPr="00CA6939">
        <w:t xml:space="preserve"> ha</w:t>
      </w:r>
      <w:r w:rsidRPr="00CA6939">
        <w:rPr>
          <w:vertAlign w:val="superscript"/>
        </w:rPr>
        <w:t>-1</w:t>
      </w:r>
      <w:r w:rsidRPr="00CA6939">
        <w:t xml:space="preserve"> na presença de esterco, com suculência máxima de 7,1 e </w:t>
      </w:r>
      <w:smartTag w:uri="urn:schemas-microsoft-com:office:smarttags" w:element="metricconverter">
        <w:smartTagPr>
          <w:attr w:name="ProductID" w:val="7,9 g"/>
        </w:smartTagPr>
        <w:r w:rsidRPr="00CA6939">
          <w:t>7,9 g</w:t>
        </w:r>
      </w:smartTag>
      <w:r w:rsidRPr="00CA6939">
        <w:t xml:space="preserve"> H</w:t>
      </w:r>
      <w:r w:rsidRPr="00CA6939">
        <w:rPr>
          <w:vertAlign w:val="subscript"/>
        </w:rPr>
        <w:t>2</w:t>
      </w:r>
      <w:r w:rsidRPr="00CA6939">
        <w:t>O g</w:t>
      </w:r>
      <w:r w:rsidRPr="00CA6939">
        <w:rPr>
          <w:vertAlign w:val="superscript"/>
        </w:rPr>
        <w:t>-1</w:t>
      </w:r>
      <w:r w:rsidRPr="00CA6939">
        <w:t xml:space="preserve"> MS, respectivamente (Figura 3E). Resposta semelhante foi obtida por Lima (2008), ao avaliar diferentes níveis de salinidade no coentro 'Verdão', com suculência da parte aérea variando entre 7,6 e </w:t>
      </w:r>
      <w:smartTag w:uri="urn:schemas-microsoft-com:office:smarttags" w:element="metricconverter">
        <w:smartTagPr>
          <w:attr w:name="ProductID" w:val="9,0 g"/>
        </w:smartTagPr>
        <w:r w:rsidRPr="00CA6939">
          <w:t>9,0 g</w:t>
        </w:r>
      </w:smartTag>
      <w:r w:rsidRPr="00CA6939">
        <w:t xml:space="preserve"> H</w:t>
      </w:r>
      <w:r w:rsidRPr="00CA6939">
        <w:rPr>
          <w:vertAlign w:val="subscript"/>
        </w:rPr>
        <w:t>2</w:t>
      </w:r>
      <w:r w:rsidRPr="00CA6939">
        <w:t>O g</w:t>
      </w:r>
      <w:r w:rsidRPr="00CA6939">
        <w:rPr>
          <w:vertAlign w:val="superscript"/>
        </w:rPr>
        <w:t>-1</w:t>
      </w:r>
      <w:r w:rsidRPr="00CA6939">
        <w:t xml:space="preserve"> MS, conforme tratamento aplicado (0, 50 e 100 mol m</w:t>
      </w:r>
      <w:r w:rsidRPr="00CA6939">
        <w:rPr>
          <w:vertAlign w:val="superscript"/>
        </w:rPr>
        <w:t>-</w:t>
      </w:r>
      <w:r w:rsidRPr="00CA6939">
        <w:t>³ de cloreto de sódio).</w:t>
      </w:r>
    </w:p>
    <w:p w:rsidR="006916DC" w:rsidRPr="00CA6939" w:rsidRDefault="006916DC" w:rsidP="00CA6939">
      <w:pPr>
        <w:ind w:firstLine="720"/>
      </w:pPr>
      <w:r w:rsidRPr="00CA6939">
        <w:t>O objetivo desse capítulo do trabalho, de avaliar o crescimento do coentro 'Verdão' submetido a doses de manipueira, na presença e ausência de esterco bovino, foi plenamente atingido.</w:t>
      </w:r>
    </w:p>
    <w:p w:rsidR="006916DC" w:rsidRPr="00CA6939" w:rsidRDefault="006916DC" w:rsidP="00CA6939">
      <w:pPr>
        <w:ind w:firstLine="720"/>
      </w:pPr>
      <w:r w:rsidRPr="00CA6939">
        <w:lastRenderedPageBreak/>
        <w:t>No entanto, observou-se que os tratamentos submetidos apenas às diferentes doses de manipueira, na ausência de esterco bovino, apresentaram resposta linear para a maioria das variáveis analisadas. É possível que doses mais elevadas de manipueira poderiam vir a suprimir a demanda nutricional do coentro, em substituição à aplicação de esterco bovino.</w:t>
      </w:r>
    </w:p>
    <w:p w:rsidR="006916DC" w:rsidRPr="00CA6939" w:rsidRDefault="006916DC" w:rsidP="00CA6939">
      <w:pPr>
        <w:ind w:firstLine="720"/>
      </w:pPr>
      <w:r w:rsidRPr="00CA6939">
        <w:t xml:space="preserve">Esse é um comentário importante pois indica que a hipótese do capítulo, de que a manipueira pudesse ser utilizada como fertilizante orgânico para a produção de coentro ‘Verdão’, em substituição ao esterco bovino, não foi confirmada, pelo menos nas doses aplicadas no presente trabalho. </w:t>
      </w:r>
    </w:p>
    <w:p w:rsidR="006916DC" w:rsidRPr="00CA6939" w:rsidRDefault="006916DC" w:rsidP="00CA6939"/>
    <w:p w:rsidR="006916DC" w:rsidRPr="00D142DC" w:rsidRDefault="0063398D" w:rsidP="00D142DC">
      <w:pPr>
        <w:rPr>
          <w:b/>
        </w:rPr>
      </w:pPr>
      <w:bookmarkStart w:id="15" w:name="_Toc38286771"/>
      <w:r w:rsidRPr="00D142DC">
        <w:rPr>
          <w:b/>
        </w:rPr>
        <w:t>Conclusões</w:t>
      </w:r>
      <w:bookmarkEnd w:id="15"/>
    </w:p>
    <w:p w:rsidR="006916DC" w:rsidRPr="00CA6939" w:rsidRDefault="006916DC" w:rsidP="00CA6939"/>
    <w:p w:rsidR="006916DC" w:rsidRPr="00CA6939" w:rsidRDefault="006916DC" w:rsidP="00CA6939">
      <w:pPr>
        <w:ind w:firstLine="708"/>
      </w:pPr>
      <w:r w:rsidRPr="00CA6939">
        <w:t>Os maiores rendimentos do coentro ‘Verdão’ foram obtidos com aplicação de manipueira em conjunto com esterco bovino.</w:t>
      </w:r>
    </w:p>
    <w:p w:rsidR="006916DC" w:rsidRPr="00CA6939" w:rsidRDefault="006916DC" w:rsidP="00CA6939">
      <w:pPr>
        <w:ind w:firstLine="708"/>
      </w:pPr>
      <w:r w:rsidRPr="00CA6939">
        <w:t xml:space="preserve">A aplicação de </w:t>
      </w:r>
      <w:smartTag w:uri="urn:schemas-microsoft-com:office:smarttags" w:element="metricconverter">
        <w:smartTagPr>
          <w:attr w:name="ProductID" w:val="45 mﾳ"/>
        </w:smartTagPr>
        <w:r w:rsidRPr="00CA6939">
          <w:t>45 m³</w:t>
        </w:r>
      </w:smartTag>
      <w:r w:rsidRPr="00CA6939">
        <w:t xml:space="preserve"> ha</w:t>
      </w:r>
      <w:r w:rsidRPr="00CA6939">
        <w:rPr>
          <w:vertAlign w:val="superscript"/>
        </w:rPr>
        <w:t>-1</w:t>
      </w:r>
      <w:r w:rsidRPr="00CA6939">
        <w:t xml:space="preserve"> de manipueira, na presença de esterco bovino, proporcionou maiores área foliar, massa fresca da parte aérea e suculência da parte aérea.     </w:t>
      </w:r>
    </w:p>
    <w:p w:rsidR="006916DC" w:rsidRPr="00CA6939" w:rsidRDefault="006916DC" w:rsidP="00CA6939">
      <w:pPr>
        <w:ind w:firstLine="708"/>
      </w:pPr>
      <w:r w:rsidRPr="00CA6939">
        <w:t xml:space="preserve">Os tratamentos submetidos apenas às diferentes doses de manipueira, na ausência de esterco bovino, apresentaram resposta linear positiva para a maioria das variáveis analisadas, indicando que doses mais elevadas de manipueira poderiam vir a suprimir a demanda nutricional do coentro em substituição ao esterco bovino. </w:t>
      </w:r>
    </w:p>
    <w:p w:rsidR="006916DC" w:rsidRPr="00CA6939" w:rsidRDefault="006916DC" w:rsidP="0063398D">
      <w:bookmarkStart w:id="16" w:name="_Toc38286772"/>
    </w:p>
    <w:p w:rsidR="006916DC" w:rsidRPr="00D142DC" w:rsidRDefault="0063398D" w:rsidP="00D142DC">
      <w:pPr>
        <w:rPr>
          <w:b/>
        </w:rPr>
      </w:pPr>
      <w:r w:rsidRPr="00D142DC">
        <w:rPr>
          <w:b/>
        </w:rPr>
        <w:t>Referências</w:t>
      </w:r>
      <w:bookmarkEnd w:id="16"/>
    </w:p>
    <w:p w:rsidR="006916DC" w:rsidRPr="00CA6939" w:rsidRDefault="006916DC" w:rsidP="00CA6939"/>
    <w:p w:rsidR="006916DC" w:rsidRPr="00CA6939" w:rsidRDefault="006916DC" w:rsidP="00CA6939">
      <w:pPr>
        <w:rPr>
          <w:b/>
          <w:lang w:val="de-DE"/>
        </w:rPr>
      </w:pPr>
      <w:r w:rsidRPr="00CA6939">
        <w:t xml:space="preserve">ALVARES, C. A.; STAPE, J. L.; SENTELHAS, P. C.; GONÇALVES, J. L. M.; SPAROVEK, G. Koppen's climate classification map for Brazil. </w:t>
      </w:r>
      <w:r w:rsidRPr="00CA6939">
        <w:rPr>
          <w:b/>
          <w:bCs/>
          <w:lang w:val="de-DE"/>
        </w:rPr>
        <w:t xml:space="preserve">Meteorologische Zeitschrift, </w:t>
      </w:r>
      <w:r w:rsidRPr="00CA6939">
        <w:rPr>
          <w:lang w:val="de-DE"/>
        </w:rPr>
        <w:t xml:space="preserve">v. 22, n. 6, p. 711-728, 2014. DOI: </w:t>
      </w:r>
      <w:hyperlink r:id="rId20" w:history="1">
        <w:r w:rsidRPr="00CA6939">
          <w:rPr>
            <w:rStyle w:val="Hyperlink"/>
            <w:lang w:val="de-DE"/>
          </w:rPr>
          <w:t>http://dx.doi.org/10.1127/0941-2948/2013/0507</w:t>
        </w:r>
      </w:hyperlink>
      <w:r w:rsidRPr="00CA6939">
        <w:rPr>
          <w:lang w:val="de-DE"/>
        </w:rPr>
        <w:t>.</w:t>
      </w:r>
    </w:p>
    <w:p w:rsidR="006916DC" w:rsidRPr="00CA6939" w:rsidRDefault="006916DC" w:rsidP="00CA6939">
      <w:pPr>
        <w:rPr>
          <w:lang w:val="de-DE"/>
        </w:rPr>
      </w:pPr>
    </w:p>
    <w:p w:rsidR="006916DC" w:rsidRPr="00CA6939" w:rsidRDefault="006916DC" w:rsidP="00CA6939">
      <w:r w:rsidRPr="00CA6939">
        <w:t xml:space="preserve">ALVES, E. U.; OLIVEIRA, A. P.; BRUNO, R. L. A.; SADER, R.; ALVES, A. U. Rendimento e qualidade fisiológica de sementes de coentro cultivado com adubação orgânica e mineral. </w:t>
      </w:r>
      <w:r w:rsidRPr="00CA6939">
        <w:rPr>
          <w:b/>
        </w:rPr>
        <w:t>Revista Brasileira de Sementes,</w:t>
      </w:r>
      <w:r w:rsidRPr="00CA6939">
        <w:t xml:space="preserve"> v. 27, n. 1, p.132-137, 2005. DOI: </w:t>
      </w:r>
      <w:hyperlink r:id="rId21" w:history="1">
        <w:r w:rsidRPr="00CA6939">
          <w:rPr>
            <w:rStyle w:val="Hyperlink"/>
          </w:rPr>
          <w:t>https://doi.org/10.1590/S0101-31222005000100016</w:t>
        </w:r>
      </w:hyperlink>
      <w:r w:rsidRPr="00CA6939">
        <w:t xml:space="preserve">. </w:t>
      </w:r>
    </w:p>
    <w:p w:rsidR="006916DC" w:rsidRPr="00CA6939" w:rsidRDefault="006916DC" w:rsidP="00CA6939"/>
    <w:p w:rsidR="006916DC" w:rsidRPr="00CA6939" w:rsidRDefault="006916DC" w:rsidP="00CA6939">
      <w:r w:rsidRPr="00CA6939">
        <w:t xml:space="preserve">ARAÚJO, N. C.; LIMA, V. L. A; SENA, L. F.; RAMOS, J. G.; BORGES, V. E; BANDEIRA, F. A. Produção orgânica da alface em substrato fertilizado com água amarela e manipueira. </w:t>
      </w:r>
      <w:r w:rsidRPr="00CA6939">
        <w:rPr>
          <w:b/>
          <w:bCs/>
        </w:rPr>
        <w:t xml:space="preserve">Revista Brasileira de Agricultura Irrigada, </w:t>
      </w:r>
      <w:r w:rsidRPr="00CA6939">
        <w:t xml:space="preserve">v. 11, n. 8, p.2111-2119, 2017. DOI: </w:t>
      </w:r>
      <w:hyperlink r:id="rId22" w:history="1">
        <w:r w:rsidRPr="00CA6939">
          <w:rPr>
            <w:rStyle w:val="Hyperlink"/>
          </w:rPr>
          <w:t>http://dx.doi.org/10.7127/rbai.v11n800689</w:t>
        </w:r>
      </w:hyperlink>
      <w:r w:rsidRPr="00CA6939">
        <w:t>.</w:t>
      </w:r>
    </w:p>
    <w:p w:rsidR="006916DC" w:rsidRPr="00CA6939" w:rsidRDefault="006916DC" w:rsidP="00CA6939"/>
    <w:p w:rsidR="006916DC" w:rsidRPr="00CA6939" w:rsidRDefault="006916DC" w:rsidP="00CA6939">
      <w:r w:rsidRPr="00CA6939">
        <w:t xml:space="preserve">BARRETO, M. T. L; MAGALHÃES, A. G.; ROLIM, M. M.; PEDROSA, E. M. R.; DUARTE, A. S.; TAVARES, U. E. Desenvolvimento e acúmulo de macronutrientes em plantas de milho biofertilizadas com manipueira. </w:t>
      </w:r>
      <w:r w:rsidRPr="00CA6939">
        <w:rPr>
          <w:b/>
          <w:bCs/>
        </w:rPr>
        <w:t xml:space="preserve">Revista Brasileira de Engenharia Agrícola e Ambiental, </w:t>
      </w:r>
      <w:r w:rsidRPr="00CA6939">
        <w:t xml:space="preserve">v. 18, n. 5, p.487-494, 2014. DOI: </w:t>
      </w:r>
      <w:hyperlink r:id="rId23" w:history="1">
        <w:r w:rsidRPr="00CA6939">
          <w:rPr>
            <w:rStyle w:val="Hyperlink"/>
          </w:rPr>
          <w:t>http://dx.doi.org/10.1590/s1415-43662014000500004</w:t>
        </w:r>
      </w:hyperlink>
      <w:r w:rsidRPr="00CA6939">
        <w:t>.</w:t>
      </w:r>
    </w:p>
    <w:p w:rsidR="006916DC" w:rsidRPr="00CA6939" w:rsidRDefault="006916DC" w:rsidP="00CA6939"/>
    <w:p w:rsidR="006916DC" w:rsidRPr="00CA6939" w:rsidRDefault="006916DC" w:rsidP="00CA6939">
      <w:r w:rsidRPr="00CA6939">
        <w:t xml:space="preserve">BENINCASA, M. M. P. </w:t>
      </w:r>
      <w:r w:rsidRPr="00CA6939">
        <w:rPr>
          <w:b/>
          <w:bCs/>
        </w:rPr>
        <w:t xml:space="preserve">Análise de crescimento de plantas: </w:t>
      </w:r>
      <w:r w:rsidRPr="00CA6939">
        <w:t>noções básicas. Jaboticabal: Funep, 2003. 41p.</w:t>
      </w:r>
    </w:p>
    <w:p w:rsidR="006916DC" w:rsidRPr="00CA6939" w:rsidRDefault="006916DC" w:rsidP="00CA6939"/>
    <w:p w:rsidR="006916DC" w:rsidRPr="00CA6939" w:rsidRDefault="006916DC" w:rsidP="00CA6939">
      <w:r w:rsidRPr="00CA6939">
        <w:t>BEZERRA, M. A. S.; BEZERRA, F. D. S. Produção de rúcula (</w:t>
      </w:r>
      <w:r w:rsidRPr="00CA6939">
        <w:rPr>
          <w:i/>
          <w:iCs/>
        </w:rPr>
        <w:t>Eruca sativa</w:t>
      </w:r>
      <w:r w:rsidRPr="00CA6939">
        <w:t xml:space="preserve">) em resposta a diferentes doses de manipueira na Amazônia Ocidental Brasileira: O caso da comunidade Praia Grande, no extremo Oeste do Estado do Acre – Brasil. </w:t>
      </w:r>
      <w:r w:rsidRPr="00CA6939">
        <w:rPr>
          <w:b/>
          <w:bCs/>
        </w:rPr>
        <w:t xml:space="preserve">Revista Espacios, </w:t>
      </w:r>
      <w:r w:rsidRPr="00CA6939">
        <w:t>v. 37, n. 24, p. 18, 2016.</w:t>
      </w:r>
    </w:p>
    <w:p w:rsidR="006916DC" w:rsidRPr="00CA6939" w:rsidRDefault="006916DC" w:rsidP="00CA6939"/>
    <w:p w:rsidR="006916DC" w:rsidRPr="00CA6939" w:rsidRDefault="006916DC" w:rsidP="00CA6939">
      <w:pPr>
        <w:rPr>
          <w:lang w:val="en-US"/>
        </w:rPr>
      </w:pPr>
      <w:r w:rsidRPr="00CA6939">
        <w:t xml:space="preserve">BEZERRA, M. G. S.; SILVA, G. G. C.; DIFANTE, G. S.; EMERENCIANO NETO, J. V.; OLIVEIRA, E. M. M.; OLIVEIRA, L. E. C. Cassava wastewater as organic fertilizer in ‘Marandu’ grass pasture. </w:t>
      </w:r>
      <w:r w:rsidRPr="00CA6939">
        <w:rPr>
          <w:b/>
          <w:bCs/>
        </w:rPr>
        <w:t>Revista Brasileira de Engenharia Agrícola e Ambiental</w:t>
      </w:r>
      <w:r w:rsidRPr="00CA6939">
        <w:t xml:space="preserve">, v. 21, n. 6, p.404-409, 2017. </w:t>
      </w:r>
      <w:r w:rsidRPr="00CA6939">
        <w:rPr>
          <w:lang w:val="en-US"/>
        </w:rPr>
        <w:t xml:space="preserve">DOI: </w:t>
      </w:r>
      <w:hyperlink r:id="rId24" w:history="1">
        <w:r w:rsidRPr="00CA6939">
          <w:rPr>
            <w:rStyle w:val="Hyperlink"/>
            <w:lang w:val="en-US"/>
          </w:rPr>
          <w:t>http://dx.doi.org/10.1590/1807-1929/agriambi.v21n6p404-409</w:t>
        </w:r>
      </w:hyperlink>
      <w:r w:rsidRPr="00CA6939">
        <w:rPr>
          <w:lang w:val="en-US"/>
        </w:rPr>
        <w:t xml:space="preserve">. </w:t>
      </w:r>
    </w:p>
    <w:p w:rsidR="006916DC" w:rsidRPr="00CA6939" w:rsidRDefault="006916DC" w:rsidP="00CA6939">
      <w:pPr>
        <w:rPr>
          <w:lang w:val="en-US"/>
        </w:rPr>
      </w:pPr>
    </w:p>
    <w:p w:rsidR="006916DC" w:rsidRPr="00CA6939" w:rsidRDefault="006916DC" w:rsidP="00CA6939">
      <w:r w:rsidRPr="00CA6939">
        <w:rPr>
          <w:lang w:val="en-US"/>
        </w:rPr>
        <w:t xml:space="preserve">CARDOSO, M. O.; BERNI, R. F.; ANTONIO, I. C.; KANO, C. Growth, production and nutrients in coriander cultivated with biofertilizer. </w:t>
      </w:r>
      <w:r w:rsidRPr="00CA6939">
        <w:rPr>
          <w:b/>
          <w:bCs/>
        </w:rPr>
        <w:t>Horticultura Brasileira</w:t>
      </w:r>
      <w:r w:rsidRPr="00CA6939">
        <w:t xml:space="preserve">, v. 35, n. 4, p.583-590, 2017. DOI: </w:t>
      </w:r>
      <w:hyperlink r:id="rId25" w:history="1">
        <w:r w:rsidRPr="00CA6939">
          <w:rPr>
            <w:rStyle w:val="Hyperlink"/>
          </w:rPr>
          <w:t>http://dx.doi.org/10.1590/s0102-053620170417</w:t>
        </w:r>
      </w:hyperlink>
      <w:r w:rsidRPr="00CA6939">
        <w:t xml:space="preserve">. </w:t>
      </w:r>
    </w:p>
    <w:p w:rsidR="006916DC" w:rsidRPr="00CA6939" w:rsidRDefault="006916DC" w:rsidP="00CA6939"/>
    <w:p w:rsidR="006916DC" w:rsidRPr="00CA6939" w:rsidRDefault="006916DC" w:rsidP="00CA6939">
      <w:r w:rsidRPr="00CA6939">
        <w:lastRenderedPageBreak/>
        <w:t xml:space="preserve">CARDOSO, M. O.; BERNI, R. F.; CHAVES, F. C. M.; PINHEIRO, J. O. C. </w:t>
      </w:r>
      <w:r w:rsidRPr="00CA6939">
        <w:rPr>
          <w:b/>
        </w:rPr>
        <w:t>Índices agroeconômicos do coentro cultivado em substrato de fibra de coco com fertirrigação.</w:t>
      </w:r>
      <w:r w:rsidRPr="00CA6939">
        <w:t xml:space="preserve"> Manaus: Embrapa Amazônica Ocidental, 2019. 26 p.</w:t>
      </w:r>
    </w:p>
    <w:p w:rsidR="006916DC" w:rsidRPr="00CA6939" w:rsidRDefault="006916DC" w:rsidP="00CA6939"/>
    <w:p w:rsidR="006916DC" w:rsidRPr="00CA6939" w:rsidRDefault="006916DC" w:rsidP="00CA6939">
      <w:r w:rsidRPr="00CA6939">
        <w:t>CERQUEIRA, F. B.; SANTANA, S. C.; SANTOS, W. F. FREITAS, G. A.; SIEBENEICHLER, S. C. Doses de nitrogênio nas respostas morfofisiológicas de coentro (</w:t>
      </w:r>
      <w:r w:rsidRPr="00CA6939">
        <w:rPr>
          <w:i/>
          <w:iCs/>
        </w:rPr>
        <w:t xml:space="preserve">Coriandrum sativum </w:t>
      </w:r>
      <w:r w:rsidRPr="00CA6939">
        <w:t xml:space="preserve">L). </w:t>
      </w:r>
      <w:r w:rsidRPr="00CA6939">
        <w:rPr>
          <w:b/>
          <w:bCs/>
        </w:rPr>
        <w:t>Global Science and Technology</w:t>
      </w:r>
      <w:r w:rsidRPr="00CA6939">
        <w:t>, v. 9, n. 1, p.15-21, 2016.</w:t>
      </w:r>
    </w:p>
    <w:p w:rsidR="006916DC" w:rsidRPr="00CA6939" w:rsidRDefault="006916DC" w:rsidP="00CA6939"/>
    <w:p w:rsidR="006916DC" w:rsidRPr="00CA6939" w:rsidRDefault="006916DC" w:rsidP="00CA6939">
      <w:r w:rsidRPr="00CA6939">
        <w:t xml:space="preserve">DANTAS, M. S. M.; ROLIM, M. M.; DUARTE, A. S.; PEDROSA, E. M. R.; TABOSA, J. N.; DANTAS, D. C. Crescimento do girassol adubado com resíduo líquido do processamento de mandioca. </w:t>
      </w:r>
      <w:r w:rsidRPr="00CA6939">
        <w:rPr>
          <w:b/>
          <w:bCs/>
        </w:rPr>
        <w:t xml:space="preserve">Revista Brasileira de Engenharia Agrícola e Ambiental, </w:t>
      </w:r>
      <w:r w:rsidRPr="00CA6939">
        <w:t xml:space="preserve">v. 19, n. 4, p. 350-357, 2015. DOI: </w:t>
      </w:r>
      <w:hyperlink r:id="rId26" w:history="1">
        <w:r w:rsidRPr="00CA6939">
          <w:rPr>
            <w:rStyle w:val="Hyperlink"/>
          </w:rPr>
          <w:t>http://dx.doi.org/10.1590/1807-1929/agriambi.v19n4p350-357</w:t>
        </w:r>
      </w:hyperlink>
      <w:r w:rsidRPr="00CA6939">
        <w:t xml:space="preserve">. </w:t>
      </w:r>
    </w:p>
    <w:p w:rsidR="006916DC" w:rsidRPr="00CA6939" w:rsidRDefault="006916DC" w:rsidP="00CA6939"/>
    <w:p w:rsidR="006916DC" w:rsidRPr="00CA6939" w:rsidRDefault="006916DC" w:rsidP="00CA6939">
      <w:r w:rsidRPr="00CA6939">
        <w:t xml:space="preserve">DINIZ, M. S.; TRINDADE, A. V.; LEDO, C. A. S. </w:t>
      </w:r>
      <w:r w:rsidRPr="00CA6939">
        <w:rPr>
          <w:b/>
          <w:bCs/>
        </w:rPr>
        <w:t xml:space="preserve">A manipueira na adubação da mandioca. </w:t>
      </w:r>
      <w:r w:rsidRPr="00CA6939">
        <w:t>Cruz das Almas: Embrapa Mandioca e Fruticultura, 2016. 6 p.</w:t>
      </w:r>
    </w:p>
    <w:p w:rsidR="006916DC" w:rsidRPr="00CA6939" w:rsidRDefault="006916DC" w:rsidP="00CA6939"/>
    <w:p w:rsidR="006916DC" w:rsidRPr="00CA6939" w:rsidRDefault="006916DC" w:rsidP="00CA6939">
      <w:r w:rsidRPr="00CA6939">
        <w:t xml:space="preserve">DUARTE, A. S.; SILVA, E. F.; ROLIM, M. M.; FERREIRA, R. F. A. L.; MALHEIROS, S. M. M.; ALBUQUERQUE, F. S. Uso de diferentes doses de manipueira na cultura da alface em substituição à adubação mineral. </w:t>
      </w:r>
      <w:r w:rsidRPr="00CA6939">
        <w:rPr>
          <w:b/>
          <w:bCs/>
        </w:rPr>
        <w:t>Revista Brasileira de Engenharia Agrícola e Ambiental</w:t>
      </w:r>
      <w:r w:rsidRPr="00CA6939">
        <w:t>, v. 16, n. 3, p. 262-267, 2012.</w:t>
      </w:r>
    </w:p>
    <w:p w:rsidR="006916DC" w:rsidRPr="00CA6939" w:rsidRDefault="006916DC" w:rsidP="00CA6939"/>
    <w:p w:rsidR="006916DC" w:rsidRPr="00CA6939" w:rsidRDefault="006916DC" w:rsidP="00CA6939">
      <w:r w:rsidRPr="00CA6939">
        <w:rPr>
          <w:lang w:val="en-US"/>
        </w:rPr>
        <w:t xml:space="preserve">FERREIRA, D. F. Sisvar: a guide for its bootstrap procedures in multiple comparisons. </w:t>
      </w:r>
      <w:r w:rsidRPr="00CA6939">
        <w:rPr>
          <w:b/>
          <w:bCs/>
        </w:rPr>
        <w:t>Ciência e Agrotecnologia</w:t>
      </w:r>
      <w:r w:rsidRPr="00CA6939">
        <w:t xml:space="preserve">, v. 38, n. 2, p. 109-112, 2014. DOI: </w:t>
      </w:r>
      <w:hyperlink r:id="rId27" w:history="1">
        <w:r w:rsidRPr="00CA6939">
          <w:rPr>
            <w:rStyle w:val="Hyperlink"/>
          </w:rPr>
          <w:t>http://dx.doi.org/10.1590/s1413-70542014000200001</w:t>
        </w:r>
      </w:hyperlink>
      <w:r w:rsidRPr="00CA6939">
        <w:t xml:space="preserve">. </w:t>
      </w:r>
    </w:p>
    <w:p w:rsidR="006916DC" w:rsidRPr="00CA6939" w:rsidRDefault="006916DC" w:rsidP="00CA6939"/>
    <w:p w:rsidR="006916DC" w:rsidRPr="00CA6939" w:rsidRDefault="006916DC" w:rsidP="00CA6939">
      <w:r w:rsidRPr="00CA6939">
        <w:rPr>
          <w:lang w:val="en-US"/>
        </w:rPr>
        <w:t>FIKADU-LEBETA, W.; DIRIBA-SHIFERAW, G.; MULUALEM-AZENE, M. The need of integrated nutrient management for coriander (</w:t>
      </w:r>
      <w:r w:rsidRPr="00CA6939">
        <w:rPr>
          <w:i/>
          <w:lang w:val="en-US"/>
        </w:rPr>
        <w:t xml:space="preserve">Coriandrum sativum </w:t>
      </w:r>
      <w:r w:rsidRPr="00CA6939">
        <w:rPr>
          <w:lang w:val="en-US"/>
        </w:rPr>
        <w:t xml:space="preserve">L.) production. </w:t>
      </w:r>
      <w:r w:rsidRPr="00CA6939">
        <w:rPr>
          <w:b/>
        </w:rPr>
        <w:t>International Journal of Food &amp; Nutrition,</w:t>
      </w:r>
      <w:r w:rsidRPr="00CA6939">
        <w:t xml:space="preserve"> v. 4, n.1, p. 1-13, 2019.</w:t>
      </w:r>
    </w:p>
    <w:p w:rsidR="006916DC" w:rsidRPr="00CA6939" w:rsidRDefault="006916DC" w:rsidP="00CA6939"/>
    <w:p w:rsidR="006916DC" w:rsidRPr="00CA6939" w:rsidRDefault="00D142DC" w:rsidP="00CA6939">
      <w:r>
        <w:t>IBGE –</w:t>
      </w:r>
      <w:r w:rsidR="006916DC" w:rsidRPr="00CA6939">
        <w:t xml:space="preserve"> Instituto Brasileiro de Geografia e Estatística. </w:t>
      </w:r>
      <w:r w:rsidR="006916DC" w:rsidRPr="00CA6939">
        <w:rPr>
          <w:b/>
        </w:rPr>
        <w:t xml:space="preserve">Produção, venda e valor da produção na horticultura, por produtos da horticultura, destino da produção, uso </w:t>
      </w:r>
      <w:r w:rsidR="006916DC" w:rsidRPr="00CA6939">
        <w:rPr>
          <w:b/>
        </w:rPr>
        <w:lastRenderedPageBreak/>
        <w:t>de irrigação, uso de agrotóxicos e uso de adubação e classificações de médio produtor.</w:t>
      </w:r>
      <w:r w:rsidR="006916DC" w:rsidRPr="00CA6939">
        <w:t xml:space="preserve"> 2020. Disponível em: </w:t>
      </w:r>
      <w:hyperlink r:id="rId28" w:anchor="resultado" w:history="1">
        <w:r w:rsidR="006916DC" w:rsidRPr="00CA6939">
          <w:rPr>
            <w:rStyle w:val="Hyperlink"/>
          </w:rPr>
          <w:t>https://sidra.ibge.gov.br/tabela/4145#resultado</w:t>
        </w:r>
      </w:hyperlink>
      <w:r w:rsidR="006916DC" w:rsidRPr="00CA6939">
        <w:t xml:space="preserve">. </w:t>
      </w:r>
    </w:p>
    <w:p w:rsidR="006916DC" w:rsidRPr="00CA6939" w:rsidRDefault="006916DC" w:rsidP="00CA6939"/>
    <w:p w:rsidR="006916DC" w:rsidRPr="00CA6939" w:rsidRDefault="006916DC" w:rsidP="00CA6939">
      <w:pPr>
        <w:rPr>
          <w:rFonts w:eastAsia="Times New Roman"/>
          <w:snapToGrid w:val="0"/>
          <w:color w:val="000000"/>
          <w:lang w:eastAsia="pt-BR"/>
        </w:rPr>
      </w:pPr>
      <w:r w:rsidRPr="00CA6939">
        <w:rPr>
          <w:rFonts w:eastAsia="Times New Roman"/>
          <w:snapToGrid w:val="0"/>
          <w:color w:val="000000"/>
          <w:lang w:eastAsia="pt-BR"/>
        </w:rPr>
        <w:t xml:space="preserve">JACOMINE, P. K. T.; CAVALCANTI, A. C.; SILVA, F. B .R. e; MONTENEGRO, J. O.; FORMIGA, R. A.; BURGOS, N.; MELO FILHO, H. F. de. </w:t>
      </w:r>
      <w:r w:rsidRPr="00CA6939">
        <w:rPr>
          <w:rFonts w:eastAsia="Times New Roman"/>
          <w:b/>
          <w:snapToGrid w:val="0"/>
          <w:color w:val="000000"/>
          <w:lang w:eastAsia="pt-BR"/>
        </w:rPr>
        <w:t>Levantamento exploratório-reconhecimento de solos da margem direita do Rio São Francisco, Estado da Bahia</w:t>
      </w:r>
      <w:r w:rsidRPr="00CA6939">
        <w:rPr>
          <w:rFonts w:eastAsia="Times New Roman"/>
          <w:snapToGrid w:val="0"/>
          <w:color w:val="000000"/>
          <w:lang w:eastAsia="pt-BR"/>
        </w:rPr>
        <w:t>. Recife: Embrapa-SNLCS, 1977, v.1, 735 p. (Embrapa-SNLCS. Boletim Técnico, 52).</w:t>
      </w:r>
    </w:p>
    <w:p w:rsidR="006916DC" w:rsidRPr="00CA6939" w:rsidRDefault="006916DC" w:rsidP="00CA6939"/>
    <w:p w:rsidR="006916DC" w:rsidRPr="00CA6939" w:rsidRDefault="006916DC" w:rsidP="00CA6939">
      <w:r w:rsidRPr="00CA6939">
        <w:t xml:space="preserve">LIMA, A. B. </w:t>
      </w:r>
      <w:r w:rsidRPr="00CA6939">
        <w:rPr>
          <w:b/>
          <w:bCs/>
        </w:rPr>
        <w:t>Respostas fisiológicas e bioquímicas de cultivares de coentro (</w:t>
      </w:r>
      <w:r w:rsidRPr="00CA6939">
        <w:rPr>
          <w:b/>
          <w:bCs/>
          <w:i/>
          <w:iCs/>
        </w:rPr>
        <w:t xml:space="preserve">Coriandrum sativum </w:t>
      </w:r>
      <w:r w:rsidRPr="00CA6939">
        <w:rPr>
          <w:b/>
          <w:bCs/>
        </w:rPr>
        <w:t xml:space="preserve">L.) submetidas ao estresse salino. </w:t>
      </w:r>
      <w:r w:rsidRPr="00CA6939">
        <w:t xml:space="preserve">2008. </w:t>
      </w:r>
      <w:smartTag w:uri="urn:schemas-microsoft-com:office:smarttags" w:element="metricconverter">
        <w:smartTagPr>
          <w:attr w:name="ProductID" w:val="56 f"/>
        </w:smartTagPr>
        <w:r w:rsidRPr="00CA6939">
          <w:t>56 f</w:t>
        </w:r>
      </w:smartTag>
      <w:r w:rsidRPr="00CA6939">
        <w:t>. Dissertação (Mestrado em Botânica) – Universidade Federal Rural de Pernambuco, Recife, 2008.</w:t>
      </w:r>
    </w:p>
    <w:p w:rsidR="006916DC" w:rsidRPr="00CA6939" w:rsidRDefault="006916DC" w:rsidP="00CA6939"/>
    <w:p w:rsidR="006916DC" w:rsidRPr="00CA6939" w:rsidRDefault="006916DC" w:rsidP="00CA6939">
      <w:r w:rsidRPr="00CA6939">
        <w:t>LINHARES, P. C. F.; PEREIRA, M. F. S.; MOREIRA, J. C.; PAIVA, A. C. C.; ASSIS, J. P.; SOUSA, R. P. Rendimento do coentro (</w:t>
      </w:r>
      <w:r w:rsidRPr="00CA6939">
        <w:rPr>
          <w:i/>
        </w:rPr>
        <w:t>Coriandrum sativum</w:t>
      </w:r>
      <w:r w:rsidRPr="00CA6939">
        <w:t xml:space="preserve"> L) adubado com esterco bovino em diferentes doses e tempos de incorporação no solo. </w:t>
      </w:r>
      <w:r w:rsidRPr="00CA6939">
        <w:rPr>
          <w:b/>
        </w:rPr>
        <w:t>Revista Brasileira de Plantas Medicinais,</w:t>
      </w:r>
      <w:r w:rsidRPr="00CA6939">
        <w:t xml:space="preserve"> v. 17, n. 3, p. 462-467, 2015.</w:t>
      </w:r>
    </w:p>
    <w:p w:rsidR="006916DC" w:rsidRPr="00CA6939" w:rsidRDefault="006916DC" w:rsidP="00CA6939"/>
    <w:p w:rsidR="006916DC" w:rsidRPr="00CA6939" w:rsidRDefault="006916DC" w:rsidP="00CA6939">
      <w:r w:rsidRPr="00CA6939">
        <w:t xml:space="preserve">OLIVEIRA, A. P.; SILVA, V. R. F.; SANTOS, C. S.; ARAÚJO, J. S.; NASCIMENTO, J. T. Produção de coentro cultivado com esterco bovino e adubação mineral. </w:t>
      </w:r>
      <w:r w:rsidRPr="00CA6939">
        <w:rPr>
          <w:b/>
          <w:bCs/>
        </w:rPr>
        <w:t>Horticultura Brasileira,</w:t>
      </w:r>
      <w:r w:rsidRPr="00CA6939">
        <w:t xml:space="preserve"> v. 20, n. 3, p. 477-479, 2002.</w:t>
      </w:r>
    </w:p>
    <w:p w:rsidR="006916DC" w:rsidRPr="00CA6939" w:rsidRDefault="006916DC" w:rsidP="00CA6939"/>
    <w:p w:rsidR="006916DC" w:rsidRPr="00CA6939" w:rsidRDefault="006916DC" w:rsidP="00CA6939">
      <w:r w:rsidRPr="00CA6939">
        <w:t xml:space="preserve">REIS, A.; LOPES, C. A. </w:t>
      </w:r>
      <w:r w:rsidRPr="00CA6939">
        <w:rPr>
          <w:b/>
        </w:rPr>
        <w:t>Doenças do coentro no Brasil.</w:t>
      </w:r>
      <w:r w:rsidRPr="00CA6939">
        <w:t xml:space="preserve"> Brasília: Embrapa, 2016. 6 p.</w:t>
      </w:r>
    </w:p>
    <w:p w:rsidR="006916DC" w:rsidRPr="00CA6939" w:rsidRDefault="006916DC" w:rsidP="00CA6939"/>
    <w:p w:rsidR="006916DC" w:rsidRPr="00CA6939" w:rsidRDefault="006916DC" w:rsidP="00CA6939">
      <w:r w:rsidRPr="00CA6939">
        <w:t xml:space="preserve">SANTOS, H. G.; JACOMINE, P. K.; ANJOS, L. H. C.; OLIVEIRA, V. A.; LUMBRERAS, J. F.; COELHO, M. R.; ALMEIDA, J. A.; ARAÚJO FILHO, J. C.; OLIVEIRA, J. B.; CUNHA, T. J. F. </w:t>
      </w:r>
      <w:r w:rsidRPr="00CA6939">
        <w:rPr>
          <w:b/>
          <w:bCs/>
        </w:rPr>
        <w:t xml:space="preserve">Sistema brasileiro de classificação de solos. </w:t>
      </w:r>
      <w:r w:rsidRPr="00CA6939">
        <w:t>Brasília, DF: Embrapa, 2018. 531p.</w:t>
      </w:r>
    </w:p>
    <w:p w:rsidR="006916DC" w:rsidRPr="00CA6939" w:rsidRDefault="006916DC" w:rsidP="00CA6939"/>
    <w:p w:rsidR="006916DC" w:rsidRPr="00CA6939" w:rsidRDefault="006916DC" w:rsidP="00CA6939">
      <w:r w:rsidRPr="00CA6939">
        <w:t xml:space="preserve">SILVA, J. M. F.; PINTO, A. A.; SANTANA, L. D.; RODRIGUES, W. A. D.; CAMARA, F. T. Produtividade do coentro Verdão em função das regulagens de uma semeadora </w:t>
      </w:r>
      <w:r w:rsidRPr="00CA6939">
        <w:lastRenderedPageBreak/>
        <w:t xml:space="preserve">manual. </w:t>
      </w:r>
      <w:r w:rsidRPr="00CA6939">
        <w:rPr>
          <w:b/>
          <w:bCs/>
        </w:rPr>
        <w:t xml:space="preserve">Enciclopédia Biosfera, </w:t>
      </w:r>
      <w:r w:rsidRPr="00CA6939">
        <w:t xml:space="preserve">v. 13, n. 24, p. 847-854, 2016. DOI: </w:t>
      </w:r>
      <w:hyperlink r:id="rId29" w:history="1">
        <w:r w:rsidRPr="00CA6939">
          <w:rPr>
            <w:rStyle w:val="Hyperlink"/>
          </w:rPr>
          <w:t>http://dx.doi.org/10.18677/encibio_2016b_080</w:t>
        </w:r>
      </w:hyperlink>
      <w:r w:rsidRPr="00CA6939">
        <w:t xml:space="preserve">. </w:t>
      </w:r>
    </w:p>
    <w:p w:rsidR="006916DC" w:rsidRPr="00CA6939" w:rsidRDefault="006916DC" w:rsidP="00CA6939"/>
    <w:p w:rsidR="006916DC" w:rsidRPr="00CA6939" w:rsidRDefault="006916DC" w:rsidP="00CA6939">
      <w:pPr>
        <w:rPr>
          <w:color w:val="222222"/>
          <w:shd w:val="clear" w:color="auto" w:fill="FFFFFF"/>
        </w:rPr>
      </w:pPr>
      <w:r w:rsidRPr="00CA6939">
        <w:rPr>
          <w:color w:val="222222"/>
          <w:shd w:val="clear" w:color="auto" w:fill="FFFFFF"/>
        </w:rPr>
        <w:t xml:space="preserve">SOUZA, D. M. G.; MIRANDA, L. N.; OLIVEIRA, S. A. Acidez do solo e sua correção. In: NOVAIS, R. F.; ALVAREZ V., V. H.; BARROS, N. F.; FONTES, R. L. F.; CANTARUTTI, R. B.; NEVES, J. C. L. (Ed.). </w:t>
      </w:r>
      <w:r w:rsidRPr="00CA6939">
        <w:rPr>
          <w:rStyle w:val="Forte"/>
          <w:color w:val="222222"/>
          <w:shd w:val="clear" w:color="auto" w:fill="FFFFFF"/>
        </w:rPr>
        <w:t xml:space="preserve">Fertilidade do solo. </w:t>
      </w:r>
      <w:r w:rsidRPr="00CA6939">
        <w:rPr>
          <w:color w:val="222222"/>
          <w:shd w:val="clear" w:color="auto" w:fill="FFFFFF"/>
        </w:rPr>
        <w:t>Viçosa: Sociedade Brasileira de Ciência do Solo, 2007. 1017 p.</w:t>
      </w:r>
    </w:p>
    <w:p w:rsidR="006916DC" w:rsidRPr="00CA6939" w:rsidRDefault="006916DC" w:rsidP="00CA6939">
      <w:pPr>
        <w:rPr>
          <w:color w:val="222222"/>
          <w:shd w:val="clear" w:color="auto" w:fill="FFFFFF"/>
        </w:rPr>
      </w:pPr>
    </w:p>
    <w:p w:rsidR="006916DC" w:rsidRPr="00CA6939" w:rsidRDefault="006916DC" w:rsidP="00CA6939">
      <w:r w:rsidRPr="00CA6939">
        <w:t xml:space="preserve">TEIXEIRA, P. C.; DONAGEMMA, G. K.; FONTANA, A.; TEIXEIRA, W. G. </w:t>
      </w:r>
      <w:r w:rsidRPr="00CA6939">
        <w:rPr>
          <w:b/>
          <w:bCs/>
        </w:rPr>
        <w:t xml:space="preserve">Manual de métodos de análise de solo. </w:t>
      </w:r>
      <w:r w:rsidRPr="00CA6939">
        <w:t>Brasília: Embrapa, 2017. 575 p.</w:t>
      </w:r>
    </w:p>
    <w:p w:rsidR="006916DC" w:rsidRPr="00CA6939" w:rsidRDefault="006916DC" w:rsidP="00CA6939"/>
    <w:p w:rsidR="006916DC" w:rsidRPr="00CA6939" w:rsidRDefault="006916DC" w:rsidP="00CA6939">
      <w:r w:rsidRPr="00CA6939">
        <w:t xml:space="preserve">TORRES, J. L. R.; GASPARINI, B. N.; BARRETO, A. C.; VIEIRA, D. M. S.; BORGES, G. V. A. Uso da manipueira como biofertilizante no cultivo da alface crespa. In: CONGRESSO BRASILEIRO DE OLERICULTURA, 54., 2016, Recife. </w:t>
      </w:r>
      <w:r w:rsidRPr="00CA6939">
        <w:rPr>
          <w:b/>
        </w:rPr>
        <w:t>Anais...</w:t>
      </w:r>
      <w:r w:rsidRPr="00CA6939">
        <w:t xml:space="preserve"> Recife: ABH, 2016. p. 219.</w:t>
      </w:r>
    </w:p>
    <w:p w:rsidR="00CD3DA2" w:rsidRPr="00CA6939" w:rsidRDefault="00CD3DA2" w:rsidP="00CA6939"/>
    <w:sectPr w:rsidR="00CD3DA2" w:rsidRPr="00CA6939" w:rsidSect="00CA6939">
      <w:headerReference w:type="even" r:id="rId30"/>
      <w:headerReference w:type="default" r:id="rId31"/>
      <w:footerReference w:type="even" r:id="rId32"/>
      <w:footerReference w:type="default" r:id="rId33"/>
      <w:headerReference w:type="first" r:id="rId34"/>
      <w:footerReference w:type="first" r:id="rId35"/>
      <w:pgSz w:w="11906" w:h="16838"/>
      <w:pgMar w:top="1701" w:right="1701" w:bottom="1701" w:left="1701" w:header="709" w:footer="709"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AE2" w:rsidRDefault="00405AE2" w:rsidP="00184FBB">
      <w:pPr>
        <w:spacing w:line="240" w:lineRule="auto"/>
      </w:pPr>
      <w:r>
        <w:separator/>
      </w:r>
    </w:p>
  </w:endnote>
  <w:endnote w:type="continuationSeparator" w:id="0">
    <w:p w:rsidR="00405AE2" w:rsidRDefault="00405AE2" w:rsidP="00184F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AD6" w:rsidRDefault="00A70AD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AD6" w:rsidRDefault="00A70AD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AD6" w:rsidRDefault="00A70AD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AE2" w:rsidRDefault="00405AE2" w:rsidP="00184FBB">
      <w:pPr>
        <w:spacing w:line="240" w:lineRule="auto"/>
      </w:pPr>
      <w:r>
        <w:separator/>
      </w:r>
    </w:p>
  </w:footnote>
  <w:footnote w:type="continuationSeparator" w:id="0">
    <w:p w:rsidR="00405AE2" w:rsidRDefault="00405AE2" w:rsidP="00184FB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AD6" w:rsidRDefault="00A70AD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FBB" w:rsidRPr="00A70AD6" w:rsidRDefault="00184FBB" w:rsidP="00A70AD6">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AD6" w:rsidRDefault="00A70AD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6DC"/>
    <w:rsid w:val="00184FBB"/>
    <w:rsid w:val="00245CB0"/>
    <w:rsid w:val="00405AE2"/>
    <w:rsid w:val="0063398D"/>
    <w:rsid w:val="006916DC"/>
    <w:rsid w:val="008367FC"/>
    <w:rsid w:val="008F7AC0"/>
    <w:rsid w:val="00911D41"/>
    <w:rsid w:val="00A70AD6"/>
    <w:rsid w:val="00B74A0B"/>
    <w:rsid w:val="00CA6939"/>
    <w:rsid w:val="00CD3DA2"/>
    <w:rsid w:val="00D142DC"/>
    <w:rsid w:val="00F676C7"/>
    <w:rsid w:val="00FD2E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pt-B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2DC"/>
    <w:rPr>
      <w:rFonts w:eastAsia="Calibri"/>
      <w:szCs w:val="24"/>
    </w:rPr>
  </w:style>
  <w:style w:type="paragraph" w:styleId="Ttulo1">
    <w:name w:val="heading 1"/>
    <w:basedOn w:val="Normal"/>
    <w:next w:val="Normal"/>
    <w:link w:val="Ttulo1Char"/>
    <w:autoRedefine/>
    <w:uiPriority w:val="9"/>
    <w:qFormat/>
    <w:rsid w:val="00D142DC"/>
    <w:pPr>
      <w:keepNext/>
      <w:keepLines/>
      <w:outlineLvl w:val="0"/>
    </w:pPr>
    <w:rPr>
      <w:rFonts w:eastAsiaTheme="majorEastAsia"/>
    </w:rPr>
  </w:style>
  <w:style w:type="paragraph" w:styleId="Ttulo2">
    <w:name w:val="heading 2"/>
    <w:basedOn w:val="Normal"/>
    <w:next w:val="Normal"/>
    <w:link w:val="Ttulo2Char"/>
    <w:autoRedefine/>
    <w:uiPriority w:val="9"/>
    <w:unhideWhenUsed/>
    <w:qFormat/>
    <w:rsid w:val="00245CB0"/>
    <w:pPr>
      <w:keepNext/>
      <w:keepLines/>
      <w:outlineLvl w:val="1"/>
    </w:pPr>
    <w:rPr>
      <w:rFonts w:eastAsiaTheme="majorEastAsia" w:cstheme="majorBidi"/>
      <w:szCs w:val="26"/>
    </w:rPr>
  </w:style>
  <w:style w:type="paragraph" w:styleId="Ttulo3">
    <w:name w:val="heading 3"/>
    <w:basedOn w:val="Normal"/>
    <w:next w:val="Normal"/>
    <w:link w:val="Ttulo3Char"/>
    <w:autoRedefine/>
    <w:uiPriority w:val="9"/>
    <w:unhideWhenUsed/>
    <w:qFormat/>
    <w:rsid w:val="008367FC"/>
    <w:pPr>
      <w:keepNext/>
      <w:keepLines/>
      <w:outlineLvl w:val="2"/>
    </w:pPr>
    <w:rPr>
      <w:rFonts w:eastAsiaTheme="majorEastAsia" w:cstheme="majorBidi"/>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142DC"/>
    <w:rPr>
      <w:rFonts w:eastAsiaTheme="majorEastAsia"/>
      <w:szCs w:val="24"/>
    </w:rPr>
  </w:style>
  <w:style w:type="paragraph" w:styleId="Sumrio1">
    <w:name w:val="toc 1"/>
    <w:basedOn w:val="Normal"/>
    <w:next w:val="Normal"/>
    <w:autoRedefine/>
    <w:uiPriority w:val="39"/>
    <w:unhideWhenUsed/>
    <w:rsid w:val="00B74A0B"/>
  </w:style>
  <w:style w:type="character" w:customStyle="1" w:styleId="Ttulo2Char">
    <w:name w:val="Título 2 Char"/>
    <w:basedOn w:val="Fontepargpadro"/>
    <w:link w:val="Ttulo2"/>
    <w:uiPriority w:val="9"/>
    <w:rsid w:val="00245CB0"/>
    <w:rPr>
      <w:rFonts w:eastAsiaTheme="majorEastAsia" w:cstheme="majorBidi"/>
      <w:szCs w:val="26"/>
    </w:rPr>
  </w:style>
  <w:style w:type="character" w:customStyle="1" w:styleId="Ttulo3Char">
    <w:name w:val="Título 3 Char"/>
    <w:basedOn w:val="Fontepargpadro"/>
    <w:link w:val="Ttulo3"/>
    <w:uiPriority w:val="9"/>
    <w:rsid w:val="008367FC"/>
    <w:rPr>
      <w:rFonts w:eastAsiaTheme="majorEastAsia" w:cstheme="majorBidi"/>
      <w:b/>
      <w:szCs w:val="24"/>
    </w:rPr>
  </w:style>
  <w:style w:type="character" w:styleId="Hyperlink">
    <w:name w:val="Hyperlink"/>
    <w:uiPriority w:val="99"/>
    <w:unhideWhenUsed/>
    <w:rsid w:val="006916DC"/>
    <w:rPr>
      <w:color w:val="0000FF"/>
      <w:u w:val="single"/>
    </w:rPr>
  </w:style>
  <w:style w:type="character" w:customStyle="1" w:styleId="TabelaChar">
    <w:name w:val="Tabela Char"/>
    <w:link w:val="Tabela"/>
    <w:locked/>
    <w:rsid w:val="006916DC"/>
    <w:rPr>
      <w:rFonts w:ascii="Arial" w:eastAsia="Calibri" w:hAnsi="Arial"/>
      <w:szCs w:val="24"/>
      <w:lang w:val="x-none" w:eastAsia="x-none"/>
    </w:rPr>
  </w:style>
  <w:style w:type="paragraph" w:customStyle="1" w:styleId="Tabela">
    <w:name w:val="Tabela"/>
    <w:basedOn w:val="Normal"/>
    <w:link w:val="TabelaChar"/>
    <w:autoRedefine/>
    <w:qFormat/>
    <w:rsid w:val="006916DC"/>
    <w:pPr>
      <w:spacing w:after="40" w:line="240" w:lineRule="auto"/>
    </w:pPr>
    <w:rPr>
      <w:lang w:val="x-none" w:eastAsia="x-none"/>
    </w:rPr>
  </w:style>
  <w:style w:type="character" w:customStyle="1" w:styleId="FiguraChar">
    <w:name w:val="Figura Char"/>
    <w:link w:val="Figura"/>
    <w:locked/>
    <w:rsid w:val="006916DC"/>
    <w:rPr>
      <w:rFonts w:ascii="Arial" w:hAnsi="Arial"/>
      <w:szCs w:val="24"/>
      <w:lang w:val="x-none" w:eastAsia="x-none"/>
    </w:rPr>
  </w:style>
  <w:style w:type="paragraph" w:customStyle="1" w:styleId="Figura">
    <w:name w:val="Figura"/>
    <w:basedOn w:val="Normal"/>
    <w:link w:val="FiguraChar"/>
    <w:autoRedefine/>
    <w:qFormat/>
    <w:rsid w:val="006916DC"/>
    <w:pPr>
      <w:spacing w:after="120" w:line="240" w:lineRule="auto"/>
    </w:pPr>
    <w:rPr>
      <w:rFonts w:eastAsiaTheme="minorHAnsi"/>
      <w:lang w:val="x-none" w:eastAsia="x-none"/>
    </w:rPr>
  </w:style>
  <w:style w:type="character" w:styleId="Forte">
    <w:name w:val="Strong"/>
    <w:uiPriority w:val="22"/>
    <w:qFormat/>
    <w:rsid w:val="006916DC"/>
    <w:rPr>
      <w:b/>
      <w:bCs/>
    </w:rPr>
  </w:style>
  <w:style w:type="character" w:styleId="Nmerodelinha">
    <w:name w:val="line number"/>
    <w:basedOn w:val="Fontepargpadro"/>
    <w:uiPriority w:val="99"/>
    <w:semiHidden/>
    <w:unhideWhenUsed/>
    <w:rsid w:val="00CA6939"/>
  </w:style>
  <w:style w:type="paragraph" w:styleId="Cabealho">
    <w:name w:val="header"/>
    <w:basedOn w:val="Normal"/>
    <w:link w:val="CabealhoChar"/>
    <w:uiPriority w:val="99"/>
    <w:unhideWhenUsed/>
    <w:rsid w:val="00184FBB"/>
    <w:pPr>
      <w:tabs>
        <w:tab w:val="center" w:pos="4252"/>
        <w:tab w:val="right" w:pos="8504"/>
      </w:tabs>
      <w:spacing w:line="240" w:lineRule="auto"/>
    </w:pPr>
  </w:style>
  <w:style w:type="character" w:customStyle="1" w:styleId="CabealhoChar">
    <w:name w:val="Cabeçalho Char"/>
    <w:basedOn w:val="Fontepargpadro"/>
    <w:link w:val="Cabealho"/>
    <w:uiPriority w:val="99"/>
    <w:rsid w:val="00184FBB"/>
    <w:rPr>
      <w:rFonts w:ascii="Arial" w:eastAsia="Calibri" w:hAnsi="Arial"/>
      <w:szCs w:val="24"/>
    </w:rPr>
  </w:style>
  <w:style w:type="paragraph" w:styleId="Rodap">
    <w:name w:val="footer"/>
    <w:basedOn w:val="Normal"/>
    <w:link w:val="RodapChar"/>
    <w:uiPriority w:val="99"/>
    <w:unhideWhenUsed/>
    <w:rsid w:val="00184FBB"/>
    <w:pPr>
      <w:tabs>
        <w:tab w:val="center" w:pos="4252"/>
        <w:tab w:val="right" w:pos="8504"/>
      </w:tabs>
      <w:spacing w:line="240" w:lineRule="auto"/>
    </w:pPr>
  </w:style>
  <w:style w:type="character" w:customStyle="1" w:styleId="RodapChar">
    <w:name w:val="Rodapé Char"/>
    <w:basedOn w:val="Fontepargpadro"/>
    <w:link w:val="Rodap"/>
    <w:uiPriority w:val="99"/>
    <w:rsid w:val="00184FBB"/>
    <w:rPr>
      <w:rFonts w:ascii="Arial" w:eastAsia="Calibri"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hyperlink" Target="http://dx.doi.org/10.1590/1807-1929/agriambi.v19n4p350-357" TargetMode="External"/><Relationship Id="rId21" Type="http://schemas.openxmlformats.org/officeDocument/2006/relationships/hyperlink" Target="https://doi.org/10.1590/S0101-31222005000100016" TargetMode="External"/><Relationship Id="rId34" Type="http://schemas.openxmlformats.org/officeDocument/2006/relationships/header" Target="header3.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hyperlink" Target="http://dx.doi.org/10.1590/s0102-053620170417"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yperlink" Target="http://dx.doi.org/10.1127/0941-2948/2013/0507" TargetMode="External"/><Relationship Id="rId29" Type="http://schemas.openxmlformats.org/officeDocument/2006/relationships/hyperlink" Target="http://dx.doi.org/10.18677/encibio_2016b_08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http://dx.doi.org/10.1590/1807-1929/agriambi.v21n6p404-409"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yperlink" Target="http://dx.doi.org/10.1590/s1415-43662014000500004" TargetMode="External"/><Relationship Id="rId28" Type="http://schemas.openxmlformats.org/officeDocument/2006/relationships/hyperlink" Target="https://sidra.ibge.gov.br/tabela/4145" TargetMode="External"/><Relationship Id="rId36"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yperlink" Target="http://dx.doi.org/10.7127/rbai.v11n800689" TargetMode="External"/><Relationship Id="rId27" Type="http://schemas.openxmlformats.org/officeDocument/2006/relationships/hyperlink" Target="http://dx.doi.org/10.1590/s1413-70542014000200001"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2.emf"/><Relationship Id="rId3"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BBBE8-39B1-4DA3-B0DD-10A054B07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5378</Words>
  <Characters>29046</Characters>
  <Application>Microsoft Office Word</Application>
  <DocSecurity>0</DocSecurity>
  <Lines>242</Lines>
  <Paragraphs>68</Paragraphs>
  <ScaleCrop>false</ScaleCrop>
  <Company/>
  <LinksUpToDate>false</LinksUpToDate>
  <CharactersWithSpaces>34356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2020-04-20T21:23:00Z</dcterms:created>
  <dcterms:modified xsi:type="dcterms:W3CDTF">2020-04-20T21:23:00Z</dcterms:modified>
</cp:coreProperties>
</file>