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47" w:rsidRPr="00070147" w:rsidRDefault="00070147" w:rsidP="00962D2E">
      <w:pPr>
        <w:jc w:val="center"/>
        <w:rPr>
          <w:b/>
        </w:rPr>
      </w:pPr>
      <w:r w:rsidRPr="00070147">
        <w:rPr>
          <w:b/>
        </w:rPr>
        <w:t xml:space="preserve">QUALIDADE AMBIENTAL E </w:t>
      </w:r>
      <w:r w:rsidR="00321EB5" w:rsidRPr="001A2984">
        <w:rPr>
          <w:b/>
        </w:rPr>
        <w:t>RELAÇÕES ÉTNICO-</w:t>
      </w:r>
      <w:r w:rsidRPr="001A2984">
        <w:rPr>
          <w:b/>
        </w:rPr>
        <w:t>RACIAIS</w:t>
      </w:r>
      <w:r w:rsidRPr="00070147">
        <w:rPr>
          <w:b/>
        </w:rPr>
        <w:t xml:space="preserve"> NO DISTRITO ADMINISTRATIVO DE BELÉM, PARÁ</w:t>
      </w:r>
    </w:p>
    <w:p w:rsidR="00971142" w:rsidRDefault="00070147" w:rsidP="00730355">
      <w:pPr>
        <w:ind w:left="142" w:right="140"/>
        <w:jc w:val="center"/>
        <w:rPr>
          <w:b/>
        </w:rPr>
      </w:pPr>
      <w:r w:rsidRPr="00671226">
        <w:rPr>
          <w:b/>
        </w:rPr>
        <w:t>ENVIRONMENTAL QUALITY AND ETHNIC RACIAL RELATIONS IN THE ADMINISTRATIVE DISTRICT OF BELÉM, PARÁ</w:t>
      </w:r>
    </w:p>
    <w:p w:rsidR="00070147" w:rsidRDefault="00070147" w:rsidP="00730355">
      <w:pPr>
        <w:ind w:left="142" w:right="140"/>
        <w:jc w:val="center"/>
        <w:rPr>
          <w:b/>
          <w:color w:val="0D0D0D"/>
        </w:rPr>
      </w:pPr>
      <w:r w:rsidRPr="00070147">
        <w:rPr>
          <w:b/>
          <w:color w:val="0D0D0D"/>
        </w:rPr>
        <w:t>CALIDAD AMBIENTAL Y RELACIONES ÉTNICO-RACIALES EN EL DISTRITO ADMINISTRATIVO DE BELÉM, PARÁ</w:t>
      </w:r>
    </w:p>
    <w:p w:rsidR="00971142" w:rsidRDefault="00FD1542">
      <w:pPr>
        <w:tabs>
          <w:tab w:val="left" w:pos="5655"/>
        </w:tabs>
        <w:rPr>
          <w:b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ab/>
      </w:r>
    </w:p>
    <w:p w:rsidR="00971142" w:rsidRDefault="00491C0C">
      <w:pPr>
        <w:ind w:right="140"/>
        <w:jc w:val="right"/>
        <w:rPr>
          <w:b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Dayla Carolina Rodrigues Santos</w:t>
      </w:r>
    </w:p>
    <w:p w:rsidR="00491C0C" w:rsidRDefault="00491C0C" w:rsidP="00491C0C">
      <w:pPr>
        <w:ind w:left="1843" w:right="140"/>
        <w:jc w:val="right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Mestranda</w:t>
      </w:r>
      <w:r w:rsidR="0010406D">
        <w:rPr>
          <w:color w:val="0D0D0D"/>
          <w:sz w:val="20"/>
          <w:szCs w:val="20"/>
        </w:rPr>
        <w:t xml:space="preserve"> pelo Programa de Pós-graduação em</w:t>
      </w:r>
      <w:r>
        <w:rPr>
          <w:color w:val="0D0D0D"/>
          <w:sz w:val="20"/>
          <w:szCs w:val="20"/>
        </w:rPr>
        <w:t xml:space="preserve"> </w:t>
      </w:r>
      <w:r w:rsidR="0010406D">
        <w:rPr>
          <w:color w:val="0D0D0D"/>
          <w:sz w:val="20"/>
          <w:szCs w:val="20"/>
        </w:rPr>
        <w:t>Agriculturas Amazônicas (PPGAA)</w:t>
      </w:r>
    </w:p>
    <w:p w:rsidR="00971142" w:rsidRDefault="00FD1542">
      <w:pPr>
        <w:ind w:left="1843" w:right="140"/>
        <w:jc w:val="right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Universidade Federal do </w:t>
      </w:r>
      <w:r w:rsidR="0010406D">
        <w:rPr>
          <w:color w:val="0D0D0D"/>
          <w:sz w:val="20"/>
          <w:szCs w:val="20"/>
        </w:rPr>
        <w:t>Pará, Instituto Amazônico de</w:t>
      </w:r>
      <w:r w:rsidR="00491C0C">
        <w:rPr>
          <w:color w:val="0D0D0D"/>
          <w:sz w:val="20"/>
          <w:szCs w:val="20"/>
        </w:rPr>
        <w:t xml:space="preserve"> Agriculturas Familiares</w:t>
      </w:r>
      <w:r>
        <w:rPr>
          <w:color w:val="0D0D0D"/>
          <w:sz w:val="20"/>
          <w:szCs w:val="20"/>
        </w:rPr>
        <w:t>, Belém</w:t>
      </w:r>
      <w:r w:rsidR="00491C0C">
        <w:rPr>
          <w:color w:val="0D0D0D"/>
          <w:sz w:val="20"/>
          <w:szCs w:val="20"/>
        </w:rPr>
        <w:t>-PA</w:t>
      </w:r>
      <w:r>
        <w:rPr>
          <w:color w:val="0D0D0D"/>
          <w:sz w:val="20"/>
          <w:szCs w:val="20"/>
        </w:rPr>
        <w:t>, Brasil</w:t>
      </w:r>
    </w:p>
    <w:p w:rsidR="00971142" w:rsidRPr="001A2984" w:rsidRDefault="001A2984">
      <w:pPr>
        <w:ind w:left="1843" w:right="140"/>
        <w:jc w:val="right"/>
        <w:rPr>
          <w:rStyle w:val="Hyperlink"/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"mailto:endereço_de@e-mail.com" </w:instrText>
      </w:r>
      <w:r>
        <w:rPr>
          <w:sz w:val="20"/>
          <w:szCs w:val="20"/>
        </w:rPr>
        <w:fldChar w:fldCharType="separate"/>
      </w:r>
      <w:r w:rsidR="0029236B" w:rsidRPr="001A2984">
        <w:rPr>
          <w:rStyle w:val="Hyperlink"/>
          <w:sz w:val="20"/>
          <w:szCs w:val="20"/>
        </w:rPr>
        <w:t>dayla.santos@ineaf.ufpa.br</w:t>
      </w:r>
    </w:p>
    <w:p w:rsidR="00971142" w:rsidRPr="001A2984" w:rsidRDefault="001A2984">
      <w:pPr>
        <w:ind w:left="1843" w:right="140"/>
        <w:jc w:val="right"/>
        <w:rPr>
          <w:sz w:val="20"/>
          <w:szCs w:val="20"/>
        </w:rPr>
      </w:pPr>
      <w:r>
        <w:rPr>
          <w:sz w:val="20"/>
          <w:szCs w:val="20"/>
        </w:rPr>
        <w:fldChar w:fldCharType="end"/>
      </w:r>
      <w:hyperlink r:id="rId9" w:history="1">
        <w:r w:rsidR="00780897" w:rsidRPr="001A2984"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https://orcid.org/0000-0002-6227-626X</w:t>
        </w:r>
      </w:hyperlink>
    </w:p>
    <w:p w:rsidR="00971142" w:rsidRDefault="00971142">
      <w:pPr>
        <w:ind w:left="1843" w:right="140"/>
        <w:jc w:val="right"/>
        <w:rPr>
          <w:b/>
          <w:color w:val="0D0D0D"/>
          <w:sz w:val="20"/>
          <w:szCs w:val="20"/>
        </w:rPr>
      </w:pPr>
    </w:p>
    <w:p w:rsidR="00971142" w:rsidRDefault="00491C0C">
      <w:pPr>
        <w:ind w:left="1843" w:right="140"/>
        <w:jc w:val="right"/>
        <w:rPr>
          <w:b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Lucas Lima Raiol</w:t>
      </w:r>
    </w:p>
    <w:p w:rsidR="00491C0C" w:rsidRDefault="0010406D">
      <w:pPr>
        <w:ind w:left="1843" w:right="140"/>
        <w:jc w:val="right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Mestrando pelo Programa de Pós-graduação em</w:t>
      </w:r>
      <w:r w:rsidR="00491C0C">
        <w:rPr>
          <w:color w:val="0D0D0D"/>
          <w:sz w:val="20"/>
          <w:szCs w:val="20"/>
        </w:rPr>
        <w:t xml:space="preserve"> Ciências </w:t>
      </w:r>
      <w:r>
        <w:rPr>
          <w:color w:val="0D0D0D"/>
          <w:sz w:val="20"/>
          <w:szCs w:val="20"/>
        </w:rPr>
        <w:t>Ambientais (PPGCA)</w:t>
      </w:r>
    </w:p>
    <w:p w:rsidR="00971142" w:rsidRDefault="00FD1542">
      <w:pPr>
        <w:ind w:left="1843" w:right="140"/>
        <w:jc w:val="right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Universidade Federal do</w:t>
      </w:r>
      <w:r w:rsidR="00491C0C">
        <w:rPr>
          <w:color w:val="0D0D0D"/>
          <w:sz w:val="20"/>
          <w:szCs w:val="20"/>
        </w:rPr>
        <w:t xml:space="preserve"> Pará</w:t>
      </w:r>
      <w:r>
        <w:rPr>
          <w:color w:val="0D0D0D"/>
          <w:sz w:val="20"/>
          <w:szCs w:val="20"/>
        </w:rPr>
        <w:t>, Instituto de</w:t>
      </w:r>
      <w:r w:rsidR="00491C0C">
        <w:rPr>
          <w:color w:val="0D0D0D"/>
          <w:sz w:val="20"/>
          <w:szCs w:val="20"/>
        </w:rPr>
        <w:t xml:space="preserve"> Geociências</w:t>
      </w:r>
      <w:r>
        <w:rPr>
          <w:color w:val="0D0D0D"/>
          <w:sz w:val="20"/>
          <w:szCs w:val="20"/>
        </w:rPr>
        <w:t xml:space="preserve">, </w:t>
      </w:r>
      <w:r w:rsidR="00491C0C">
        <w:rPr>
          <w:color w:val="0D0D0D"/>
          <w:sz w:val="20"/>
          <w:szCs w:val="20"/>
        </w:rPr>
        <w:t>Belém-PA</w:t>
      </w:r>
      <w:r>
        <w:rPr>
          <w:color w:val="0D0D0D"/>
          <w:sz w:val="20"/>
          <w:szCs w:val="20"/>
        </w:rPr>
        <w:t xml:space="preserve">, Brasil </w:t>
      </w:r>
    </w:p>
    <w:p w:rsidR="00971142" w:rsidRPr="001A2984" w:rsidRDefault="00683EB2">
      <w:pPr>
        <w:ind w:left="1843" w:right="140"/>
        <w:jc w:val="right"/>
        <w:rPr>
          <w:sz w:val="20"/>
          <w:szCs w:val="20"/>
        </w:rPr>
      </w:pPr>
      <w:hyperlink r:id="rId10" w:history="1">
        <w:r w:rsidR="002A1AC3" w:rsidRPr="001A2984">
          <w:rPr>
            <w:rStyle w:val="Hyperlink"/>
            <w:sz w:val="20"/>
            <w:szCs w:val="20"/>
          </w:rPr>
          <w:t>lucas.raiol@ig.ufpa.br</w:t>
        </w:r>
      </w:hyperlink>
    </w:p>
    <w:p w:rsidR="00971142" w:rsidRPr="001A2984" w:rsidRDefault="00683EB2">
      <w:pPr>
        <w:ind w:left="1843" w:right="140"/>
        <w:jc w:val="right"/>
        <w:rPr>
          <w:sz w:val="20"/>
          <w:szCs w:val="20"/>
        </w:rPr>
      </w:pPr>
      <w:hyperlink r:id="rId11" w:history="1">
        <w:r w:rsidR="0029236B" w:rsidRPr="001A2984"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https://orcid.org/0000-0003-4080-9333</w:t>
        </w:r>
      </w:hyperlink>
    </w:p>
    <w:p w:rsidR="000F1DA9" w:rsidRDefault="000F1DA9">
      <w:pPr>
        <w:ind w:left="1843" w:right="140"/>
        <w:jc w:val="right"/>
        <w:rPr>
          <w:sz w:val="20"/>
          <w:szCs w:val="20"/>
        </w:rPr>
      </w:pPr>
    </w:p>
    <w:p w:rsidR="006F536D" w:rsidRDefault="00491C0C" w:rsidP="006F536D">
      <w:pPr>
        <w:ind w:left="1843" w:right="140"/>
        <w:jc w:val="right"/>
        <w:rPr>
          <w:b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Luiz Cláudio Moreira Melo Júnior</w:t>
      </w:r>
    </w:p>
    <w:p w:rsidR="006F536D" w:rsidRPr="006F536D" w:rsidRDefault="006F536D" w:rsidP="006F536D">
      <w:pPr>
        <w:ind w:left="1843" w:right="140"/>
        <w:jc w:val="right"/>
        <w:rPr>
          <w:b/>
          <w:color w:val="0D0D0D"/>
          <w:sz w:val="20"/>
          <w:szCs w:val="20"/>
        </w:rPr>
      </w:pPr>
      <w:r w:rsidRPr="006F536D">
        <w:rPr>
          <w:sz w:val="20"/>
          <w:szCs w:val="20"/>
          <w:shd w:val="clear" w:color="auto" w:fill="FFFFFF"/>
        </w:rPr>
        <w:t xml:space="preserve">Doutor pelo </w:t>
      </w:r>
      <w:r>
        <w:rPr>
          <w:sz w:val="20"/>
          <w:szCs w:val="20"/>
          <w:shd w:val="clear" w:color="auto" w:fill="FFFFFF"/>
        </w:rPr>
        <w:t>programa de P</w:t>
      </w:r>
      <w:r w:rsidRPr="006F536D">
        <w:rPr>
          <w:sz w:val="20"/>
          <w:szCs w:val="20"/>
          <w:shd w:val="clear" w:color="auto" w:fill="FFFFFF"/>
        </w:rPr>
        <w:t xml:space="preserve">ós-graduação em Desenvolvimento </w:t>
      </w:r>
      <w:r>
        <w:rPr>
          <w:sz w:val="20"/>
          <w:szCs w:val="20"/>
          <w:shd w:val="clear" w:color="auto" w:fill="FFFFFF"/>
        </w:rPr>
        <w:t xml:space="preserve">Sustentável da </w:t>
      </w:r>
      <w:r w:rsidRPr="006F536D">
        <w:rPr>
          <w:sz w:val="20"/>
          <w:szCs w:val="20"/>
          <w:shd w:val="clear" w:color="auto" w:fill="FFFFFF"/>
        </w:rPr>
        <w:t>Universidade de Brasília</w:t>
      </w:r>
    </w:p>
    <w:p w:rsidR="000F1DA9" w:rsidRDefault="0029236B" w:rsidP="006F536D">
      <w:pPr>
        <w:ind w:left="1843" w:right="140"/>
        <w:jc w:val="right"/>
        <w:rPr>
          <w:color w:val="0D0D0D"/>
          <w:sz w:val="20"/>
          <w:szCs w:val="20"/>
        </w:rPr>
      </w:pPr>
      <w:r w:rsidRPr="006F536D">
        <w:rPr>
          <w:color w:val="0D0D0D"/>
          <w:sz w:val="20"/>
          <w:szCs w:val="20"/>
        </w:rPr>
        <w:t>Professor Adjunto</w:t>
      </w:r>
      <w:r w:rsidR="006F536D">
        <w:rPr>
          <w:color w:val="0D0D0D"/>
          <w:sz w:val="20"/>
          <w:szCs w:val="20"/>
        </w:rPr>
        <w:t xml:space="preserve"> da </w:t>
      </w:r>
      <w:r w:rsidR="00491C0C">
        <w:rPr>
          <w:color w:val="0D0D0D"/>
          <w:sz w:val="20"/>
          <w:szCs w:val="20"/>
        </w:rPr>
        <w:t>Universidade Federal Rural da Amazônia</w:t>
      </w:r>
      <w:r w:rsidR="00BC4261">
        <w:rPr>
          <w:color w:val="0D0D0D"/>
          <w:sz w:val="20"/>
          <w:szCs w:val="20"/>
        </w:rPr>
        <w:t xml:space="preserve">, </w:t>
      </w:r>
      <w:r w:rsidR="00491C0C">
        <w:rPr>
          <w:color w:val="0D0D0D"/>
          <w:sz w:val="20"/>
          <w:szCs w:val="20"/>
        </w:rPr>
        <w:t>Capanema-PA</w:t>
      </w:r>
      <w:r w:rsidR="000F1DA9">
        <w:rPr>
          <w:color w:val="0D0D0D"/>
          <w:sz w:val="20"/>
          <w:szCs w:val="20"/>
        </w:rPr>
        <w:t xml:space="preserve">, Brasil </w:t>
      </w:r>
    </w:p>
    <w:p w:rsidR="000F1DA9" w:rsidRPr="001A2984" w:rsidRDefault="00683EB2" w:rsidP="000F1DA9">
      <w:pPr>
        <w:ind w:left="1843" w:right="140"/>
        <w:jc w:val="right"/>
        <w:rPr>
          <w:sz w:val="20"/>
          <w:szCs w:val="20"/>
        </w:rPr>
      </w:pPr>
      <w:hyperlink r:id="rId12" w:history="1">
        <w:r w:rsidR="00780897" w:rsidRPr="001A2984">
          <w:rPr>
            <w:rStyle w:val="Hyperlink"/>
            <w:sz w:val="20"/>
            <w:szCs w:val="20"/>
          </w:rPr>
          <w:t>luiz.melo@ufra.edu.br</w:t>
        </w:r>
      </w:hyperlink>
    </w:p>
    <w:p w:rsidR="000F1DA9" w:rsidRPr="001A2984" w:rsidRDefault="00683EB2" w:rsidP="000F1DA9">
      <w:pPr>
        <w:ind w:left="1843" w:right="140"/>
        <w:jc w:val="right"/>
        <w:rPr>
          <w:sz w:val="20"/>
          <w:szCs w:val="20"/>
        </w:rPr>
      </w:pPr>
      <w:hyperlink r:id="rId13" w:history="1">
        <w:r w:rsidR="0091638B" w:rsidRPr="001A2984">
          <w:rPr>
            <w:rStyle w:val="Hyperlink"/>
            <w:sz w:val="20"/>
            <w:szCs w:val="20"/>
          </w:rPr>
          <w:t>https://orcid.org/0009-0009-2407-936X</w:t>
        </w:r>
      </w:hyperlink>
    </w:p>
    <w:p w:rsidR="00971142" w:rsidRDefault="00713F45" w:rsidP="00BC4261">
      <w:pPr>
        <w:tabs>
          <w:tab w:val="left" w:pos="3795"/>
        </w:tabs>
        <w:spacing w:after="120"/>
        <w:ind w:right="140"/>
        <w:jc w:val="both"/>
        <w:rPr>
          <w:b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</w:rPr>
        <w:t xml:space="preserve">RESUMO </w:t>
      </w:r>
    </w:p>
    <w:p w:rsidR="003B3101" w:rsidRPr="009879A4" w:rsidRDefault="003B3101" w:rsidP="00BC4261">
      <w:pPr>
        <w:ind w:right="140"/>
        <w:jc w:val="both"/>
        <w:rPr>
          <w:sz w:val="22"/>
          <w:szCs w:val="22"/>
        </w:rPr>
      </w:pPr>
      <w:r w:rsidRPr="009879A4">
        <w:rPr>
          <w:sz w:val="22"/>
          <w:szCs w:val="22"/>
        </w:rPr>
        <w:t xml:space="preserve">O processo de urbanização das grandes capitais brasileiras se deu de forma desordenada, privilegiando </w:t>
      </w:r>
      <w:r w:rsidR="0091638B" w:rsidRPr="009879A4">
        <w:rPr>
          <w:sz w:val="22"/>
          <w:szCs w:val="22"/>
        </w:rPr>
        <w:t xml:space="preserve">determinados </w:t>
      </w:r>
      <w:r w:rsidRPr="009879A4">
        <w:rPr>
          <w:sz w:val="22"/>
          <w:szCs w:val="22"/>
        </w:rPr>
        <w:t>grupos étnicos e econômicos. Diante desse pre</w:t>
      </w:r>
      <w:r w:rsidR="006610ED" w:rsidRPr="009879A4">
        <w:rPr>
          <w:sz w:val="22"/>
          <w:szCs w:val="22"/>
        </w:rPr>
        <w:t>ssuposto, o objetivo d</w:t>
      </w:r>
      <w:r w:rsidR="0091638B" w:rsidRPr="009879A4">
        <w:rPr>
          <w:sz w:val="22"/>
          <w:szCs w:val="22"/>
        </w:rPr>
        <w:t>o artigo é</w:t>
      </w:r>
      <w:r w:rsidRPr="009879A4">
        <w:rPr>
          <w:sz w:val="22"/>
          <w:szCs w:val="22"/>
        </w:rPr>
        <w:t xml:space="preserve"> analisar a qualidade ambiental e as relações étnico</w:t>
      </w:r>
      <w:r w:rsidR="0091638B" w:rsidRPr="009879A4">
        <w:rPr>
          <w:sz w:val="22"/>
          <w:szCs w:val="22"/>
        </w:rPr>
        <w:t>-</w:t>
      </w:r>
      <w:r w:rsidRPr="009879A4">
        <w:rPr>
          <w:sz w:val="22"/>
          <w:szCs w:val="22"/>
        </w:rPr>
        <w:t xml:space="preserve">raciais sob a perspectiva da justiça ambiental no distrito de Belém, Pará. </w:t>
      </w:r>
      <w:r w:rsidR="0091638B" w:rsidRPr="009879A4">
        <w:rPr>
          <w:sz w:val="22"/>
          <w:szCs w:val="22"/>
        </w:rPr>
        <w:t>Foram utilizadas</w:t>
      </w:r>
      <w:r w:rsidRPr="009879A4">
        <w:rPr>
          <w:sz w:val="22"/>
          <w:szCs w:val="22"/>
        </w:rPr>
        <w:t xml:space="preserve"> técnicas de geoprocessamento para </w:t>
      </w:r>
      <w:proofErr w:type="spellStart"/>
      <w:r w:rsidRPr="009879A4">
        <w:rPr>
          <w:sz w:val="22"/>
          <w:szCs w:val="22"/>
        </w:rPr>
        <w:t>espacializar</w:t>
      </w:r>
      <w:proofErr w:type="spellEnd"/>
      <w:r w:rsidRPr="009879A4">
        <w:rPr>
          <w:sz w:val="22"/>
          <w:szCs w:val="22"/>
        </w:rPr>
        <w:t xml:space="preserve"> os índices de qualidade ambiental e a correlação de Pearson para analisar as relações entre rendimento e etnia</w:t>
      </w:r>
      <w:r w:rsidR="00321EB5" w:rsidRPr="009879A4">
        <w:rPr>
          <w:sz w:val="22"/>
          <w:szCs w:val="22"/>
        </w:rPr>
        <w:t>-racial</w:t>
      </w:r>
      <w:r w:rsidRPr="009879A4">
        <w:rPr>
          <w:sz w:val="22"/>
          <w:szCs w:val="22"/>
        </w:rPr>
        <w:t>. Foi observado que os índices de qualidade ambiental se mostraram baixos no distrito administrativo de Belém</w:t>
      </w:r>
      <w:r w:rsidR="00D43290" w:rsidRPr="009879A4">
        <w:rPr>
          <w:sz w:val="22"/>
          <w:szCs w:val="22"/>
        </w:rPr>
        <w:t xml:space="preserve">, sendo que as </w:t>
      </w:r>
      <w:r w:rsidR="00D43290" w:rsidRPr="009879A4">
        <w:t>melhores coberturas foram energia elétrica e coleta de lixo, no entanto</w:t>
      </w:r>
      <w:r w:rsidR="00820665" w:rsidRPr="009879A4">
        <w:t>,</w:t>
      </w:r>
      <w:r w:rsidR="00D43290" w:rsidRPr="009879A4">
        <w:t xml:space="preserve"> as piores foram rampas e arborizações. Em relação ao grupos étnicos-raciais mais afetados pelos baixos índices de qualidade ambiental, e </w:t>
      </w:r>
      <w:r w:rsidRPr="009879A4">
        <w:rPr>
          <w:sz w:val="22"/>
          <w:szCs w:val="22"/>
        </w:rPr>
        <w:t>que tiveram menor rendimento médio mensal</w:t>
      </w:r>
      <w:r w:rsidR="00D43290" w:rsidRPr="009879A4">
        <w:rPr>
          <w:sz w:val="22"/>
          <w:szCs w:val="22"/>
        </w:rPr>
        <w:t>, destaca-se</w:t>
      </w:r>
      <w:r w:rsidRPr="009879A4">
        <w:rPr>
          <w:sz w:val="22"/>
          <w:szCs w:val="22"/>
        </w:rPr>
        <w:t xml:space="preserve"> pessoas pretas e pardas, apresentando uma correlação negativa. Desse modo, a pesquisa é essencial para entender as transformações urbanísticas e su</w:t>
      </w:r>
      <w:r w:rsidR="00D43290" w:rsidRPr="009879A4">
        <w:rPr>
          <w:sz w:val="22"/>
          <w:szCs w:val="22"/>
        </w:rPr>
        <w:t>a relação com os grupos étnico-</w:t>
      </w:r>
      <w:r w:rsidRPr="009879A4">
        <w:rPr>
          <w:sz w:val="22"/>
          <w:szCs w:val="22"/>
        </w:rPr>
        <w:t>raciais</w:t>
      </w:r>
      <w:r w:rsidR="00261214" w:rsidRPr="009879A4">
        <w:rPr>
          <w:sz w:val="22"/>
          <w:szCs w:val="22"/>
        </w:rPr>
        <w:t>.</w:t>
      </w:r>
    </w:p>
    <w:p w:rsidR="00971142" w:rsidRDefault="003B3101" w:rsidP="008C3E46">
      <w:pPr>
        <w:ind w:right="709"/>
        <w:jc w:val="both"/>
        <w:rPr>
          <w:color w:val="0D0D0D"/>
          <w:sz w:val="18"/>
          <w:szCs w:val="18"/>
        </w:rPr>
      </w:pPr>
      <w:r>
        <w:rPr>
          <w:b/>
          <w:sz w:val="22"/>
          <w:szCs w:val="22"/>
        </w:rPr>
        <w:t xml:space="preserve">Palavras-chave: </w:t>
      </w:r>
      <w:r w:rsidRPr="003B3101">
        <w:rPr>
          <w:sz w:val="22"/>
          <w:szCs w:val="22"/>
        </w:rPr>
        <w:t>Geoprocessamento; Justiça Ambi</w:t>
      </w:r>
      <w:r w:rsidR="001A2984">
        <w:rPr>
          <w:sz w:val="22"/>
          <w:szCs w:val="22"/>
        </w:rPr>
        <w:t>ental; Desigualdade Ambiental.</w:t>
      </w:r>
    </w:p>
    <w:p w:rsidR="00971142" w:rsidRDefault="00971142" w:rsidP="00962D2E">
      <w:pPr>
        <w:ind w:right="851"/>
        <w:rPr>
          <w:color w:val="0D0D0D"/>
          <w:sz w:val="18"/>
          <w:szCs w:val="18"/>
        </w:rPr>
      </w:pPr>
    </w:p>
    <w:p w:rsidR="00971142" w:rsidRDefault="00713F45" w:rsidP="00BC4261">
      <w:pPr>
        <w:spacing w:after="120"/>
        <w:jc w:val="both"/>
        <w:rPr>
          <w:b/>
          <w:i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</w:rPr>
        <w:t xml:space="preserve">ABSTRACT </w:t>
      </w:r>
    </w:p>
    <w:p w:rsidR="00A915BE" w:rsidRDefault="006D744A" w:rsidP="00BC4261">
      <w:pPr>
        <w:ind w:right="140"/>
        <w:jc w:val="both"/>
        <w:rPr>
          <w:sz w:val="22"/>
          <w:szCs w:val="22"/>
        </w:rPr>
      </w:pPr>
      <w:r w:rsidRPr="00A915BE">
        <w:rPr>
          <w:sz w:val="22"/>
          <w:szCs w:val="22"/>
        </w:rPr>
        <w:t xml:space="preserve">The </w:t>
      </w:r>
      <w:proofErr w:type="spellStart"/>
      <w:r w:rsidRPr="00A915BE">
        <w:rPr>
          <w:sz w:val="22"/>
          <w:szCs w:val="22"/>
        </w:rPr>
        <w:t>urbanization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process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of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the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large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Brazilian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capitals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took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place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disorderly</w:t>
      </w:r>
      <w:proofErr w:type="spellEnd"/>
      <w:r w:rsidRPr="00A915BE">
        <w:rPr>
          <w:sz w:val="22"/>
          <w:szCs w:val="22"/>
        </w:rPr>
        <w:t xml:space="preserve">, </w:t>
      </w:r>
      <w:proofErr w:type="spellStart"/>
      <w:r w:rsidRPr="00A915BE">
        <w:rPr>
          <w:sz w:val="22"/>
          <w:szCs w:val="22"/>
        </w:rPr>
        <w:t>favoring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certain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ethnic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and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economic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groups</w:t>
      </w:r>
      <w:proofErr w:type="spellEnd"/>
      <w:r w:rsidRPr="00A915BE">
        <w:rPr>
          <w:sz w:val="22"/>
          <w:szCs w:val="22"/>
        </w:rPr>
        <w:t xml:space="preserve">. </w:t>
      </w:r>
      <w:proofErr w:type="spellStart"/>
      <w:r w:rsidRPr="00A915BE">
        <w:rPr>
          <w:sz w:val="22"/>
          <w:szCs w:val="22"/>
        </w:rPr>
        <w:t>Given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</w:t>
      </w:r>
      <w:r>
        <w:rPr>
          <w:sz w:val="22"/>
          <w:szCs w:val="22"/>
        </w:rPr>
        <w:t>his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assumption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paper’s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to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analyze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the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environmental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quality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and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ethnic</w:t>
      </w:r>
      <w:proofErr w:type="spellEnd"/>
      <w:r w:rsidRPr="00A915BE">
        <w:rPr>
          <w:sz w:val="22"/>
          <w:szCs w:val="22"/>
        </w:rPr>
        <w:t xml:space="preserve">-racial </w:t>
      </w:r>
      <w:proofErr w:type="spellStart"/>
      <w:r w:rsidRPr="00A915BE">
        <w:rPr>
          <w:sz w:val="22"/>
          <w:szCs w:val="22"/>
        </w:rPr>
        <w:t>relations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from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the</w:t>
      </w:r>
      <w:proofErr w:type="spellEnd"/>
      <w:r w:rsidRPr="00A915BE">
        <w:rPr>
          <w:sz w:val="22"/>
          <w:szCs w:val="22"/>
        </w:rPr>
        <w:t xml:space="preserve"> perspective </w:t>
      </w:r>
      <w:proofErr w:type="spellStart"/>
      <w:r w:rsidRPr="00A915BE">
        <w:rPr>
          <w:sz w:val="22"/>
          <w:szCs w:val="22"/>
        </w:rPr>
        <w:t>of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environmental</w:t>
      </w:r>
      <w:proofErr w:type="spellEnd"/>
      <w:r w:rsidRPr="00A915BE">
        <w:rPr>
          <w:sz w:val="22"/>
          <w:szCs w:val="22"/>
        </w:rPr>
        <w:t xml:space="preserve"> justice in </w:t>
      </w:r>
      <w:proofErr w:type="spellStart"/>
      <w:r w:rsidRPr="00A915BE">
        <w:rPr>
          <w:sz w:val="22"/>
          <w:szCs w:val="22"/>
        </w:rPr>
        <w:t>the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district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of</w:t>
      </w:r>
      <w:proofErr w:type="spellEnd"/>
      <w:r w:rsidRPr="00A915BE">
        <w:rPr>
          <w:sz w:val="22"/>
          <w:szCs w:val="22"/>
        </w:rPr>
        <w:t xml:space="preserve"> Belém, Pará. </w:t>
      </w:r>
      <w:proofErr w:type="spellStart"/>
      <w:r w:rsidRPr="00A915BE">
        <w:rPr>
          <w:sz w:val="22"/>
          <w:szCs w:val="22"/>
        </w:rPr>
        <w:t>Geoprocessing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techniques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were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used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to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spatialize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the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environmental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quality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indices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and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Pearson's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correlation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to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analyze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the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relationships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between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income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and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ethnic</w:t>
      </w:r>
      <w:proofErr w:type="spellEnd"/>
      <w:r w:rsidRPr="00A915BE">
        <w:rPr>
          <w:sz w:val="22"/>
          <w:szCs w:val="22"/>
        </w:rPr>
        <w:t xml:space="preserve">-racial. It </w:t>
      </w:r>
      <w:proofErr w:type="spellStart"/>
      <w:r w:rsidRPr="00A915BE">
        <w:rPr>
          <w:sz w:val="22"/>
          <w:szCs w:val="22"/>
        </w:rPr>
        <w:t>was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observed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that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the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environmental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quality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indices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were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low</w:t>
      </w:r>
      <w:proofErr w:type="spellEnd"/>
      <w:r w:rsidRPr="00A915BE">
        <w:rPr>
          <w:sz w:val="22"/>
          <w:szCs w:val="22"/>
        </w:rPr>
        <w:t xml:space="preserve"> in </w:t>
      </w:r>
      <w:proofErr w:type="spellStart"/>
      <w:r w:rsidRPr="00A915BE">
        <w:rPr>
          <w:sz w:val="22"/>
          <w:szCs w:val="22"/>
        </w:rPr>
        <w:t>the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administrative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district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of</w:t>
      </w:r>
      <w:proofErr w:type="spellEnd"/>
      <w:r w:rsidRPr="00A915BE">
        <w:rPr>
          <w:sz w:val="22"/>
          <w:szCs w:val="22"/>
        </w:rPr>
        <w:t xml:space="preserve"> Belém, </w:t>
      </w:r>
      <w:proofErr w:type="spellStart"/>
      <w:r w:rsidRPr="00A915BE">
        <w:rPr>
          <w:sz w:val="22"/>
          <w:szCs w:val="22"/>
        </w:rPr>
        <w:t>with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the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best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coverage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being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electricity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and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garbage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collection</w:t>
      </w:r>
      <w:proofErr w:type="spellEnd"/>
      <w:r w:rsidRPr="00A915BE">
        <w:rPr>
          <w:sz w:val="22"/>
          <w:szCs w:val="22"/>
        </w:rPr>
        <w:t xml:space="preserve">, </w:t>
      </w:r>
      <w:proofErr w:type="spellStart"/>
      <w:r w:rsidRPr="00A915BE">
        <w:rPr>
          <w:sz w:val="22"/>
          <w:szCs w:val="22"/>
        </w:rPr>
        <w:t>however</w:t>
      </w:r>
      <w:proofErr w:type="spellEnd"/>
      <w:r w:rsidRPr="00A915BE">
        <w:rPr>
          <w:sz w:val="22"/>
          <w:szCs w:val="22"/>
        </w:rPr>
        <w:t xml:space="preserve">, </w:t>
      </w:r>
      <w:proofErr w:type="spellStart"/>
      <w:r w:rsidRPr="00A915BE">
        <w:rPr>
          <w:sz w:val="22"/>
          <w:szCs w:val="22"/>
        </w:rPr>
        <w:t>the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worst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were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ramps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and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trees</w:t>
      </w:r>
      <w:proofErr w:type="spellEnd"/>
      <w:r w:rsidRPr="00A915BE">
        <w:rPr>
          <w:sz w:val="22"/>
          <w:szCs w:val="22"/>
        </w:rPr>
        <w:t xml:space="preserve">. </w:t>
      </w:r>
      <w:proofErr w:type="spellStart"/>
      <w:r w:rsidRPr="00A915BE">
        <w:rPr>
          <w:sz w:val="22"/>
          <w:szCs w:val="22"/>
        </w:rPr>
        <w:t>Regarding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the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ethnic</w:t>
      </w:r>
      <w:proofErr w:type="spellEnd"/>
      <w:r w:rsidRPr="00A915BE">
        <w:rPr>
          <w:sz w:val="22"/>
          <w:szCs w:val="22"/>
        </w:rPr>
        <w:t xml:space="preserve">-racial </w:t>
      </w:r>
      <w:proofErr w:type="spellStart"/>
      <w:r w:rsidRPr="00A915BE">
        <w:rPr>
          <w:sz w:val="22"/>
          <w:szCs w:val="22"/>
        </w:rPr>
        <w:t>groups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most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affected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by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low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levels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of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environmental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quality</w:t>
      </w:r>
      <w:proofErr w:type="spellEnd"/>
      <w:r w:rsidRPr="00A915BE">
        <w:rPr>
          <w:sz w:val="22"/>
          <w:szCs w:val="22"/>
        </w:rPr>
        <w:t xml:space="preserve">, </w:t>
      </w:r>
      <w:proofErr w:type="spellStart"/>
      <w:r w:rsidRPr="00A915BE">
        <w:rPr>
          <w:sz w:val="22"/>
          <w:szCs w:val="22"/>
        </w:rPr>
        <w:t>and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who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had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lower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average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monthly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income</w:t>
      </w:r>
      <w:proofErr w:type="spellEnd"/>
      <w:r w:rsidRPr="00A915BE">
        <w:rPr>
          <w:sz w:val="22"/>
          <w:szCs w:val="22"/>
        </w:rPr>
        <w:t xml:space="preserve">, </w:t>
      </w:r>
      <w:proofErr w:type="spellStart"/>
      <w:r w:rsidRPr="00A915BE">
        <w:rPr>
          <w:sz w:val="22"/>
          <w:szCs w:val="22"/>
        </w:rPr>
        <w:t>black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and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brown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people</w:t>
      </w:r>
      <w:proofErr w:type="spellEnd"/>
      <w:r w:rsidRPr="00A915BE">
        <w:rPr>
          <w:sz w:val="22"/>
          <w:szCs w:val="22"/>
        </w:rPr>
        <w:t xml:space="preserve"> stand out, </w:t>
      </w:r>
      <w:proofErr w:type="spellStart"/>
      <w:r w:rsidRPr="00A915BE">
        <w:rPr>
          <w:sz w:val="22"/>
          <w:szCs w:val="22"/>
        </w:rPr>
        <w:t>showing</w:t>
      </w:r>
      <w:proofErr w:type="spellEnd"/>
      <w:r w:rsidRPr="00A915BE">
        <w:rPr>
          <w:sz w:val="22"/>
          <w:szCs w:val="22"/>
        </w:rPr>
        <w:t xml:space="preserve"> a negative </w:t>
      </w:r>
      <w:proofErr w:type="spellStart"/>
      <w:r w:rsidRPr="00A915BE">
        <w:rPr>
          <w:sz w:val="22"/>
          <w:szCs w:val="22"/>
        </w:rPr>
        <w:t>correlation</w:t>
      </w:r>
      <w:proofErr w:type="spellEnd"/>
      <w:r w:rsidRPr="00A915BE">
        <w:rPr>
          <w:sz w:val="22"/>
          <w:szCs w:val="22"/>
        </w:rPr>
        <w:t xml:space="preserve">. </w:t>
      </w:r>
      <w:proofErr w:type="spellStart"/>
      <w:r w:rsidRPr="00A915BE">
        <w:rPr>
          <w:sz w:val="22"/>
          <w:szCs w:val="22"/>
        </w:rPr>
        <w:t>Therefore</w:t>
      </w:r>
      <w:proofErr w:type="spellEnd"/>
      <w:r w:rsidRPr="00A915BE">
        <w:rPr>
          <w:sz w:val="22"/>
          <w:szCs w:val="22"/>
        </w:rPr>
        <w:t xml:space="preserve">, </w:t>
      </w:r>
      <w:proofErr w:type="spellStart"/>
      <w:r w:rsidRPr="00A915BE">
        <w:rPr>
          <w:sz w:val="22"/>
          <w:szCs w:val="22"/>
        </w:rPr>
        <w:lastRenderedPageBreak/>
        <w:t>research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is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essential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to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understand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urban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transformations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and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their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relationship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with</w:t>
      </w:r>
      <w:proofErr w:type="spellEnd"/>
      <w:r w:rsidRPr="00A915BE">
        <w:rPr>
          <w:sz w:val="22"/>
          <w:szCs w:val="22"/>
        </w:rPr>
        <w:t xml:space="preserve"> </w:t>
      </w:r>
      <w:proofErr w:type="spellStart"/>
      <w:r w:rsidRPr="00A915BE">
        <w:rPr>
          <w:sz w:val="22"/>
          <w:szCs w:val="22"/>
        </w:rPr>
        <w:t>ethnic</w:t>
      </w:r>
      <w:proofErr w:type="spellEnd"/>
      <w:r w:rsidRPr="00A915BE">
        <w:rPr>
          <w:sz w:val="22"/>
          <w:szCs w:val="22"/>
        </w:rPr>
        <w:t xml:space="preserve">-racial </w:t>
      </w:r>
      <w:proofErr w:type="spellStart"/>
      <w:r w:rsidRPr="00A915BE">
        <w:rPr>
          <w:sz w:val="22"/>
          <w:szCs w:val="22"/>
        </w:rPr>
        <w:t>groups</w:t>
      </w:r>
      <w:proofErr w:type="spellEnd"/>
      <w:r w:rsidRPr="00A915BE">
        <w:rPr>
          <w:sz w:val="22"/>
          <w:szCs w:val="22"/>
        </w:rPr>
        <w:t>.</w:t>
      </w:r>
    </w:p>
    <w:p w:rsidR="00971142" w:rsidRDefault="006610ED" w:rsidP="00D75ACD">
      <w:pPr>
        <w:ind w:right="142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Keywords</w:t>
      </w:r>
      <w:proofErr w:type="spellEnd"/>
      <w:r>
        <w:rPr>
          <w:b/>
          <w:sz w:val="22"/>
          <w:szCs w:val="22"/>
        </w:rPr>
        <w:t xml:space="preserve">: </w:t>
      </w:r>
      <w:proofErr w:type="spellStart"/>
      <w:r w:rsidR="003B3101" w:rsidRPr="003B3101">
        <w:rPr>
          <w:sz w:val="22"/>
          <w:szCs w:val="22"/>
        </w:rPr>
        <w:t>Geoprocessing</w:t>
      </w:r>
      <w:proofErr w:type="spellEnd"/>
      <w:r w:rsidR="003B3101" w:rsidRPr="003B3101">
        <w:rPr>
          <w:sz w:val="22"/>
          <w:szCs w:val="22"/>
        </w:rPr>
        <w:t>; Environmental Justice; En</w:t>
      </w:r>
      <w:r w:rsidR="001A2984">
        <w:rPr>
          <w:sz w:val="22"/>
          <w:szCs w:val="22"/>
        </w:rPr>
        <w:t xml:space="preserve">vironmental </w:t>
      </w:r>
      <w:proofErr w:type="spellStart"/>
      <w:r w:rsidR="001A2984">
        <w:rPr>
          <w:sz w:val="22"/>
          <w:szCs w:val="22"/>
        </w:rPr>
        <w:t>Inequality</w:t>
      </w:r>
      <w:proofErr w:type="spellEnd"/>
      <w:r w:rsidR="001A2984">
        <w:rPr>
          <w:sz w:val="22"/>
          <w:szCs w:val="22"/>
        </w:rPr>
        <w:t>.</w:t>
      </w:r>
    </w:p>
    <w:p w:rsidR="00D75ACD" w:rsidRDefault="00D75ACD" w:rsidP="00962D2E">
      <w:pPr>
        <w:ind w:right="142"/>
        <w:jc w:val="both"/>
        <w:rPr>
          <w:b/>
          <w:sz w:val="22"/>
          <w:szCs w:val="22"/>
        </w:rPr>
      </w:pPr>
    </w:p>
    <w:p w:rsidR="00971142" w:rsidRDefault="00FD1542" w:rsidP="00BC4261">
      <w:pPr>
        <w:spacing w:after="120"/>
        <w:ind w:right="140"/>
        <w:jc w:val="both"/>
        <w:rPr>
          <w:b/>
          <w:i/>
          <w:color w:val="0D0D0D"/>
          <w:sz w:val="22"/>
          <w:szCs w:val="22"/>
        </w:rPr>
      </w:pPr>
      <w:r>
        <w:rPr>
          <w:b/>
          <w:sz w:val="22"/>
          <w:szCs w:val="22"/>
        </w:rPr>
        <w:t xml:space="preserve">RESUMEN </w:t>
      </w:r>
    </w:p>
    <w:p w:rsidR="00261214" w:rsidRDefault="00A915BE" w:rsidP="00BC4261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ind w:right="140"/>
        <w:jc w:val="both"/>
        <w:rPr>
          <w:color w:val="0D0D0D"/>
          <w:sz w:val="22"/>
          <w:szCs w:val="22"/>
        </w:rPr>
      </w:pPr>
      <w:r w:rsidRPr="00A915BE">
        <w:rPr>
          <w:color w:val="0D0D0D"/>
          <w:sz w:val="22"/>
          <w:szCs w:val="22"/>
        </w:rPr>
        <w:t xml:space="preserve">El </w:t>
      </w:r>
      <w:proofErr w:type="spellStart"/>
      <w:r w:rsidRPr="00A915BE">
        <w:rPr>
          <w:color w:val="0D0D0D"/>
          <w:sz w:val="22"/>
          <w:szCs w:val="22"/>
        </w:rPr>
        <w:t>proceso</w:t>
      </w:r>
      <w:proofErr w:type="spellEnd"/>
      <w:r w:rsidRPr="00A915BE">
        <w:rPr>
          <w:color w:val="0D0D0D"/>
          <w:sz w:val="22"/>
          <w:szCs w:val="22"/>
        </w:rPr>
        <w:t xml:space="preserve"> de </w:t>
      </w:r>
      <w:proofErr w:type="spellStart"/>
      <w:r w:rsidRPr="00A915BE">
        <w:rPr>
          <w:color w:val="0D0D0D"/>
          <w:sz w:val="22"/>
          <w:szCs w:val="22"/>
        </w:rPr>
        <w:t>urbanización</w:t>
      </w:r>
      <w:proofErr w:type="spellEnd"/>
      <w:r w:rsidRPr="00A915BE">
        <w:rPr>
          <w:color w:val="0D0D0D"/>
          <w:sz w:val="22"/>
          <w:szCs w:val="22"/>
        </w:rPr>
        <w:t xml:space="preserve"> de </w:t>
      </w:r>
      <w:proofErr w:type="spellStart"/>
      <w:r w:rsidRPr="00A915BE">
        <w:rPr>
          <w:color w:val="0D0D0D"/>
          <w:sz w:val="22"/>
          <w:szCs w:val="22"/>
        </w:rPr>
        <w:t>las</w:t>
      </w:r>
      <w:proofErr w:type="spellEnd"/>
      <w:r w:rsidRPr="00A915BE">
        <w:rPr>
          <w:color w:val="0D0D0D"/>
          <w:sz w:val="22"/>
          <w:szCs w:val="22"/>
        </w:rPr>
        <w:t xml:space="preserve"> grandes </w:t>
      </w:r>
      <w:proofErr w:type="spellStart"/>
      <w:r w:rsidRPr="00A915BE">
        <w:rPr>
          <w:color w:val="0D0D0D"/>
          <w:sz w:val="22"/>
          <w:szCs w:val="22"/>
        </w:rPr>
        <w:t>capitales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brasileñas</w:t>
      </w:r>
      <w:proofErr w:type="spellEnd"/>
      <w:r w:rsidRPr="00A915BE">
        <w:rPr>
          <w:color w:val="0D0D0D"/>
          <w:sz w:val="22"/>
          <w:szCs w:val="22"/>
        </w:rPr>
        <w:t xml:space="preserve"> se </w:t>
      </w:r>
      <w:proofErr w:type="spellStart"/>
      <w:r w:rsidRPr="00A915BE">
        <w:rPr>
          <w:color w:val="0D0D0D"/>
          <w:sz w:val="22"/>
          <w:szCs w:val="22"/>
        </w:rPr>
        <w:t>dio</w:t>
      </w:r>
      <w:proofErr w:type="spellEnd"/>
      <w:r w:rsidRPr="00A915BE">
        <w:rPr>
          <w:color w:val="0D0D0D"/>
          <w:sz w:val="22"/>
          <w:szCs w:val="22"/>
        </w:rPr>
        <w:t xml:space="preserve"> de forma desordenada, </w:t>
      </w:r>
      <w:proofErr w:type="spellStart"/>
      <w:r w:rsidRPr="00A915BE">
        <w:rPr>
          <w:color w:val="0D0D0D"/>
          <w:sz w:val="22"/>
          <w:szCs w:val="22"/>
        </w:rPr>
        <w:t>favoreciendo</w:t>
      </w:r>
      <w:proofErr w:type="spellEnd"/>
      <w:r w:rsidRPr="00A915BE">
        <w:rPr>
          <w:color w:val="0D0D0D"/>
          <w:sz w:val="22"/>
          <w:szCs w:val="22"/>
        </w:rPr>
        <w:t xml:space="preserve"> a determinad</w:t>
      </w:r>
      <w:bookmarkStart w:id="0" w:name="_GoBack"/>
      <w:bookmarkEnd w:id="0"/>
      <w:r w:rsidRPr="00A915BE">
        <w:rPr>
          <w:color w:val="0D0D0D"/>
          <w:sz w:val="22"/>
          <w:szCs w:val="22"/>
        </w:rPr>
        <w:t xml:space="preserve">os grupos étnicos y económicos. Dado este </w:t>
      </w:r>
      <w:proofErr w:type="spellStart"/>
      <w:r w:rsidRPr="00A915BE">
        <w:rPr>
          <w:color w:val="0D0D0D"/>
          <w:sz w:val="22"/>
          <w:szCs w:val="22"/>
        </w:rPr>
        <w:t>supuesto</w:t>
      </w:r>
      <w:proofErr w:type="spellEnd"/>
      <w:r w:rsidRPr="00A915BE">
        <w:rPr>
          <w:color w:val="0D0D0D"/>
          <w:sz w:val="22"/>
          <w:szCs w:val="22"/>
        </w:rPr>
        <w:t xml:space="preserve">, </w:t>
      </w:r>
      <w:proofErr w:type="spellStart"/>
      <w:r w:rsidRPr="00A915BE">
        <w:rPr>
          <w:color w:val="0D0D0D"/>
          <w:sz w:val="22"/>
          <w:szCs w:val="22"/>
        </w:rPr>
        <w:t>el</w:t>
      </w:r>
      <w:proofErr w:type="spellEnd"/>
      <w:r w:rsidRPr="00A915BE">
        <w:rPr>
          <w:color w:val="0D0D0D"/>
          <w:sz w:val="22"/>
          <w:szCs w:val="22"/>
        </w:rPr>
        <w:t xml:space="preserve"> objetivo </w:t>
      </w:r>
      <w:proofErr w:type="spellStart"/>
      <w:r w:rsidRPr="00A915BE">
        <w:rPr>
          <w:color w:val="0D0D0D"/>
          <w:sz w:val="22"/>
          <w:szCs w:val="22"/>
        </w:rPr>
        <w:t>del</w:t>
      </w:r>
      <w:proofErr w:type="spellEnd"/>
      <w:r w:rsidRPr="00A915BE">
        <w:rPr>
          <w:color w:val="0D0D0D"/>
          <w:sz w:val="22"/>
          <w:szCs w:val="22"/>
        </w:rPr>
        <w:t xml:space="preserve"> artículo es </w:t>
      </w:r>
      <w:proofErr w:type="spellStart"/>
      <w:r w:rsidRPr="00A915BE">
        <w:rPr>
          <w:color w:val="0D0D0D"/>
          <w:sz w:val="22"/>
          <w:szCs w:val="22"/>
        </w:rPr>
        <w:t>analizar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la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calidad</w:t>
      </w:r>
      <w:proofErr w:type="spellEnd"/>
      <w:r w:rsidRPr="00A915BE">
        <w:rPr>
          <w:color w:val="0D0D0D"/>
          <w:sz w:val="22"/>
          <w:szCs w:val="22"/>
        </w:rPr>
        <w:t xml:space="preserve"> ambiental y </w:t>
      </w:r>
      <w:proofErr w:type="spellStart"/>
      <w:r w:rsidRPr="00A915BE">
        <w:rPr>
          <w:color w:val="0D0D0D"/>
          <w:sz w:val="22"/>
          <w:szCs w:val="22"/>
        </w:rPr>
        <w:t>las</w:t>
      </w:r>
      <w:proofErr w:type="spellEnd"/>
      <w:r w:rsidRPr="00A915BE">
        <w:rPr>
          <w:color w:val="0D0D0D"/>
          <w:sz w:val="22"/>
          <w:szCs w:val="22"/>
        </w:rPr>
        <w:t xml:space="preserve"> relaciones étnico-</w:t>
      </w:r>
      <w:proofErr w:type="spellStart"/>
      <w:r w:rsidRPr="00A915BE">
        <w:rPr>
          <w:color w:val="0D0D0D"/>
          <w:sz w:val="22"/>
          <w:szCs w:val="22"/>
        </w:rPr>
        <w:t>raciales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en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la</w:t>
      </w:r>
      <w:proofErr w:type="spellEnd"/>
      <w:r w:rsidRPr="00A915BE">
        <w:rPr>
          <w:color w:val="0D0D0D"/>
          <w:sz w:val="22"/>
          <w:szCs w:val="22"/>
        </w:rPr>
        <w:t xml:space="preserve"> perspectiva de </w:t>
      </w:r>
      <w:proofErr w:type="spellStart"/>
      <w:r w:rsidRPr="00A915BE">
        <w:rPr>
          <w:color w:val="0D0D0D"/>
          <w:sz w:val="22"/>
          <w:szCs w:val="22"/>
        </w:rPr>
        <w:t>la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justicia</w:t>
      </w:r>
      <w:proofErr w:type="spellEnd"/>
      <w:r w:rsidRPr="00A915BE">
        <w:rPr>
          <w:color w:val="0D0D0D"/>
          <w:sz w:val="22"/>
          <w:szCs w:val="22"/>
        </w:rPr>
        <w:t xml:space="preserve"> ambiental </w:t>
      </w:r>
      <w:proofErr w:type="spellStart"/>
      <w:r w:rsidRPr="00A915BE">
        <w:rPr>
          <w:color w:val="0D0D0D"/>
          <w:sz w:val="22"/>
          <w:szCs w:val="22"/>
        </w:rPr>
        <w:t>en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el</w:t>
      </w:r>
      <w:proofErr w:type="spellEnd"/>
      <w:r w:rsidRPr="00A915BE">
        <w:rPr>
          <w:color w:val="0D0D0D"/>
          <w:sz w:val="22"/>
          <w:szCs w:val="22"/>
        </w:rPr>
        <w:t xml:space="preserve"> distrito de Belém, Pará. Se </w:t>
      </w:r>
      <w:proofErr w:type="spellStart"/>
      <w:r w:rsidRPr="00A915BE">
        <w:rPr>
          <w:color w:val="0D0D0D"/>
          <w:sz w:val="22"/>
          <w:szCs w:val="22"/>
        </w:rPr>
        <w:t>utilizaron</w:t>
      </w:r>
      <w:proofErr w:type="spellEnd"/>
      <w:r w:rsidRPr="00A915BE">
        <w:rPr>
          <w:color w:val="0D0D0D"/>
          <w:sz w:val="22"/>
          <w:szCs w:val="22"/>
        </w:rPr>
        <w:t xml:space="preserve"> técnicas de </w:t>
      </w:r>
      <w:proofErr w:type="spellStart"/>
      <w:r w:rsidRPr="00A915BE">
        <w:rPr>
          <w:color w:val="0D0D0D"/>
          <w:sz w:val="22"/>
          <w:szCs w:val="22"/>
        </w:rPr>
        <w:t>geoprocesamiento</w:t>
      </w:r>
      <w:proofErr w:type="spellEnd"/>
      <w:r w:rsidRPr="00A915BE">
        <w:rPr>
          <w:color w:val="0D0D0D"/>
          <w:sz w:val="22"/>
          <w:szCs w:val="22"/>
        </w:rPr>
        <w:t xml:space="preserve"> para </w:t>
      </w:r>
      <w:proofErr w:type="spellStart"/>
      <w:r w:rsidRPr="00A915BE">
        <w:rPr>
          <w:color w:val="0D0D0D"/>
          <w:sz w:val="22"/>
          <w:szCs w:val="22"/>
        </w:rPr>
        <w:t>espacializar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los</w:t>
      </w:r>
      <w:proofErr w:type="spellEnd"/>
      <w:r w:rsidRPr="00A915BE">
        <w:rPr>
          <w:color w:val="0D0D0D"/>
          <w:sz w:val="22"/>
          <w:szCs w:val="22"/>
        </w:rPr>
        <w:t xml:space="preserve"> índices de </w:t>
      </w:r>
      <w:proofErr w:type="spellStart"/>
      <w:r w:rsidRPr="00A915BE">
        <w:rPr>
          <w:color w:val="0D0D0D"/>
          <w:sz w:val="22"/>
          <w:szCs w:val="22"/>
        </w:rPr>
        <w:t>calidad</w:t>
      </w:r>
      <w:proofErr w:type="spellEnd"/>
      <w:r w:rsidRPr="00A915BE">
        <w:rPr>
          <w:color w:val="0D0D0D"/>
          <w:sz w:val="22"/>
          <w:szCs w:val="22"/>
        </w:rPr>
        <w:t xml:space="preserve"> ambiental y </w:t>
      </w:r>
      <w:proofErr w:type="spellStart"/>
      <w:r w:rsidRPr="00A915BE">
        <w:rPr>
          <w:color w:val="0D0D0D"/>
          <w:sz w:val="22"/>
          <w:szCs w:val="22"/>
        </w:rPr>
        <w:t>correlación</w:t>
      </w:r>
      <w:proofErr w:type="spellEnd"/>
      <w:r w:rsidRPr="00A915BE">
        <w:rPr>
          <w:color w:val="0D0D0D"/>
          <w:sz w:val="22"/>
          <w:szCs w:val="22"/>
        </w:rPr>
        <w:t xml:space="preserve"> de Pearson para </w:t>
      </w:r>
      <w:proofErr w:type="spellStart"/>
      <w:r w:rsidRPr="00A915BE">
        <w:rPr>
          <w:color w:val="0D0D0D"/>
          <w:sz w:val="22"/>
          <w:szCs w:val="22"/>
        </w:rPr>
        <w:t>analizar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las</w:t>
      </w:r>
      <w:proofErr w:type="spellEnd"/>
      <w:r w:rsidRPr="00A915BE">
        <w:rPr>
          <w:color w:val="0D0D0D"/>
          <w:sz w:val="22"/>
          <w:szCs w:val="22"/>
        </w:rPr>
        <w:t xml:space="preserve"> relaciones entre </w:t>
      </w:r>
      <w:proofErr w:type="spellStart"/>
      <w:r w:rsidRPr="00A915BE">
        <w:rPr>
          <w:color w:val="0D0D0D"/>
          <w:sz w:val="22"/>
          <w:szCs w:val="22"/>
        </w:rPr>
        <w:t>ingreso</w:t>
      </w:r>
      <w:proofErr w:type="spellEnd"/>
      <w:r w:rsidRPr="00A915BE">
        <w:rPr>
          <w:color w:val="0D0D0D"/>
          <w:sz w:val="22"/>
          <w:szCs w:val="22"/>
        </w:rPr>
        <w:t xml:space="preserve"> y étnico-racial. Se </w:t>
      </w:r>
      <w:proofErr w:type="spellStart"/>
      <w:r w:rsidRPr="00A915BE">
        <w:rPr>
          <w:color w:val="0D0D0D"/>
          <w:sz w:val="22"/>
          <w:szCs w:val="22"/>
        </w:rPr>
        <w:t>observó</w:t>
      </w:r>
      <w:proofErr w:type="spellEnd"/>
      <w:r w:rsidRPr="00A915BE">
        <w:rPr>
          <w:color w:val="0D0D0D"/>
          <w:sz w:val="22"/>
          <w:szCs w:val="22"/>
        </w:rPr>
        <w:t xml:space="preserve"> que </w:t>
      </w:r>
      <w:proofErr w:type="spellStart"/>
      <w:r w:rsidRPr="00A915BE">
        <w:rPr>
          <w:color w:val="0D0D0D"/>
          <w:sz w:val="22"/>
          <w:szCs w:val="22"/>
        </w:rPr>
        <w:t>los</w:t>
      </w:r>
      <w:proofErr w:type="spellEnd"/>
      <w:r w:rsidRPr="00A915BE">
        <w:rPr>
          <w:color w:val="0D0D0D"/>
          <w:sz w:val="22"/>
          <w:szCs w:val="22"/>
        </w:rPr>
        <w:t xml:space="preserve"> índices de </w:t>
      </w:r>
      <w:proofErr w:type="spellStart"/>
      <w:r w:rsidRPr="00A915BE">
        <w:rPr>
          <w:color w:val="0D0D0D"/>
          <w:sz w:val="22"/>
          <w:szCs w:val="22"/>
        </w:rPr>
        <w:t>calidad</w:t>
      </w:r>
      <w:proofErr w:type="spellEnd"/>
      <w:r w:rsidRPr="00A915BE">
        <w:rPr>
          <w:color w:val="0D0D0D"/>
          <w:sz w:val="22"/>
          <w:szCs w:val="22"/>
        </w:rPr>
        <w:t xml:space="preserve"> ambiental </w:t>
      </w:r>
      <w:proofErr w:type="spellStart"/>
      <w:r w:rsidRPr="00A915BE">
        <w:rPr>
          <w:color w:val="0D0D0D"/>
          <w:sz w:val="22"/>
          <w:szCs w:val="22"/>
        </w:rPr>
        <w:t>fueron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bajos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en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el</w:t>
      </w:r>
      <w:proofErr w:type="spellEnd"/>
      <w:r w:rsidRPr="00A915BE">
        <w:rPr>
          <w:color w:val="0D0D0D"/>
          <w:sz w:val="22"/>
          <w:szCs w:val="22"/>
        </w:rPr>
        <w:t xml:space="preserve"> distrito administrativo de Belém, </w:t>
      </w:r>
      <w:proofErr w:type="spellStart"/>
      <w:r w:rsidRPr="00A915BE">
        <w:rPr>
          <w:color w:val="0D0D0D"/>
          <w:sz w:val="22"/>
          <w:szCs w:val="22"/>
        </w:rPr>
        <w:t>siendo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la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mejor</w:t>
      </w:r>
      <w:proofErr w:type="spellEnd"/>
      <w:r w:rsidRPr="00A915BE">
        <w:rPr>
          <w:color w:val="0D0D0D"/>
          <w:sz w:val="22"/>
          <w:szCs w:val="22"/>
        </w:rPr>
        <w:t xml:space="preserve"> cobertura </w:t>
      </w:r>
      <w:proofErr w:type="spellStart"/>
      <w:r w:rsidRPr="00A915BE">
        <w:rPr>
          <w:color w:val="0D0D0D"/>
          <w:sz w:val="22"/>
          <w:szCs w:val="22"/>
        </w:rPr>
        <w:t>la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electricidad</w:t>
      </w:r>
      <w:proofErr w:type="spellEnd"/>
      <w:r w:rsidRPr="00A915BE">
        <w:rPr>
          <w:color w:val="0D0D0D"/>
          <w:sz w:val="22"/>
          <w:szCs w:val="22"/>
        </w:rPr>
        <w:t xml:space="preserve"> y </w:t>
      </w:r>
      <w:proofErr w:type="spellStart"/>
      <w:r w:rsidRPr="00A915BE">
        <w:rPr>
          <w:color w:val="0D0D0D"/>
          <w:sz w:val="22"/>
          <w:szCs w:val="22"/>
        </w:rPr>
        <w:t>la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recolección</w:t>
      </w:r>
      <w:proofErr w:type="spellEnd"/>
      <w:r w:rsidRPr="00A915BE">
        <w:rPr>
          <w:color w:val="0D0D0D"/>
          <w:sz w:val="22"/>
          <w:szCs w:val="22"/>
        </w:rPr>
        <w:t xml:space="preserve"> de </w:t>
      </w:r>
      <w:proofErr w:type="spellStart"/>
      <w:r w:rsidRPr="00A915BE">
        <w:rPr>
          <w:color w:val="0D0D0D"/>
          <w:sz w:val="22"/>
          <w:szCs w:val="22"/>
        </w:rPr>
        <w:t>basura</w:t>
      </w:r>
      <w:proofErr w:type="spellEnd"/>
      <w:r w:rsidRPr="00A915BE">
        <w:rPr>
          <w:color w:val="0D0D0D"/>
          <w:sz w:val="22"/>
          <w:szCs w:val="22"/>
        </w:rPr>
        <w:t xml:space="preserve">, </w:t>
      </w:r>
      <w:proofErr w:type="spellStart"/>
      <w:r w:rsidRPr="00A915BE">
        <w:rPr>
          <w:color w:val="0D0D0D"/>
          <w:sz w:val="22"/>
          <w:szCs w:val="22"/>
        </w:rPr>
        <w:t>sin</w:t>
      </w:r>
      <w:proofErr w:type="spellEnd"/>
      <w:r w:rsidRPr="00A915BE">
        <w:rPr>
          <w:color w:val="0D0D0D"/>
          <w:sz w:val="22"/>
          <w:szCs w:val="22"/>
        </w:rPr>
        <w:t xml:space="preserve"> embargo, </w:t>
      </w:r>
      <w:proofErr w:type="spellStart"/>
      <w:r w:rsidRPr="00A915BE">
        <w:rPr>
          <w:color w:val="0D0D0D"/>
          <w:sz w:val="22"/>
          <w:szCs w:val="22"/>
        </w:rPr>
        <w:t>la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peor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fueron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las</w:t>
      </w:r>
      <w:proofErr w:type="spellEnd"/>
      <w:r w:rsidRPr="00A915BE">
        <w:rPr>
          <w:color w:val="0D0D0D"/>
          <w:sz w:val="22"/>
          <w:szCs w:val="22"/>
        </w:rPr>
        <w:t xml:space="preserve"> rampas y </w:t>
      </w:r>
      <w:proofErr w:type="spellStart"/>
      <w:r w:rsidRPr="00A915BE">
        <w:rPr>
          <w:color w:val="0D0D0D"/>
          <w:sz w:val="22"/>
          <w:szCs w:val="22"/>
        </w:rPr>
        <w:t>los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árboles</w:t>
      </w:r>
      <w:proofErr w:type="spellEnd"/>
      <w:r w:rsidRPr="00A915BE">
        <w:rPr>
          <w:color w:val="0D0D0D"/>
          <w:sz w:val="22"/>
          <w:szCs w:val="22"/>
        </w:rPr>
        <w:t xml:space="preserve">. </w:t>
      </w:r>
      <w:proofErr w:type="spellStart"/>
      <w:r w:rsidRPr="00A915BE">
        <w:rPr>
          <w:color w:val="0D0D0D"/>
          <w:sz w:val="22"/>
          <w:szCs w:val="22"/>
        </w:rPr>
        <w:t>En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relación</w:t>
      </w:r>
      <w:proofErr w:type="spellEnd"/>
      <w:r w:rsidRPr="00A915BE">
        <w:rPr>
          <w:color w:val="0D0D0D"/>
          <w:sz w:val="22"/>
          <w:szCs w:val="22"/>
        </w:rPr>
        <w:t xml:space="preserve"> a </w:t>
      </w:r>
      <w:proofErr w:type="spellStart"/>
      <w:r w:rsidRPr="00A915BE">
        <w:rPr>
          <w:color w:val="0D0D0D"/>
          <w:sz w:val="22"/>
          <w:szCs w:val="22"/>
        </w:rPr>
        <w:t>los</w:t>
      </w:r>
      <w:proofErr w:type="spellEnd"/>
      <w:r w:rsidRPr="00A915BE">
        <w:rPr>
          <w:color w:val="0D0D0D"/>
          <w:sz w:val="22"/>
          <w:szCs w:val="22"/>
        </w:rPr>
        <w:t xml:space="preserve"> grupos étnico-</w:t>
      </w:r>
      <w:proofErr w:type="spellStart"/>
      <w:r w:rsidRPr="00A915BE">
        <w:rPr>
          <w:color w:val="0D0D0D"/>
          <w:sz w:val="22"/>
          <w:szCs w:val="22"/>
        </w:rPr>
        <w:t>raciales</w:t>
      </w:r>
      <w:proofErr w:type="spellEnd"/>
      <w:r w:rsidRPr="00A915BE">
        <w:rPr>
          <w:color w:val="0D0D0D"/>
          <w:sz w:val="22"/>
          <w:szCs w:val="22"/>
        </w:rPr>
        <w:t xml:space="preserve"> más </w:t>
      </w:r>
      <w:proofErr w:type="spellStart"/>
      <w:r w:rsidRPr="00A915BE">
        <w:rPr>
          <w:color w:val="0D0D0D"/>
          <w:sz w:val="22"/>
          <w:szCs w:val="22"/>
        </w:rPr>
        <w:t>afectados</w:t>
      </w:r>
      <w:proofErr w:type="spellEnd"/>
      <w:r w:rsidRPr="00A915BE">
        <w:rPr>
          <w:color w:val="0D0D0D"/>
          <w:sz w:val="22"/>
          <w:szCs w:val="22"/>
        </w:rPr>
        <w:t xml:space="preserve"> por </w:t>
      </w:r>
      <w:proofErr w:type="spellStart"/>
      <w:r w:rsidRPr="00A915BE">
        <w:rPr>
          <w:color w:val="0D0D0D"/>
          <w:sz w:val="22"/>
          <w:szCs w:val="22"/>
        </w:rPr>
        <w:t>los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bajos</w:t>
      </w:r>
      <w:proofErr w:type="spellEnd"/>
      <w:r w:rsidRPr="00A915BE">
        <w:rPr>
          <w:color w:val="0D0D0D"/>
          <w:sz w:val="22"/>
          <w:szCs w:val="22"/>
        </w:rPr>
        <w:t xml:space="preserve"> niveles de </w:t>
      </w:r>
      <w:proofErr w:type="spellStart"/>
      <w:r w:rsidRPr="00A915BE">
        <w:rPr>
          <w:color w:val="0D0D0D"/>
          <w:sz w:val="22"/>
          <w:szCs w:val="22"/>
        </w:rPr>
        <w:t>calidad</w:t>
      </w:r>
      <w:proofErr w:type="spellEnd"/>
      <w:r w:rsidRPr="00A915BE">
        <w:rPr>
          <w:color w:val="0D0D0D"/>
          <w:sz w:val="22"/>
          <w:szCs w:val="22"/>
        </w:rPr>
        <w:t xml:space="preserve"> ambiental, y que </w:t>
      </w:r>
      <w:proofErr w:type="spellStart"/>
      <w:r w:rsidRPr="00A915BE">
        <w:rPr>
          <w:color w:val="0D0D0D"/>
          <w:sz w:val="22"/>
          <w:szCs w:val="22"/>
        </w:rPr>
        <w:t>tenían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el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ingreso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promedio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mensual</w:t>
      </w:r>
      <w:proofErr w:type="spellEnd"/>
      <w:r w:rsidRPr="00A915BE">
        <w:rPr>
          <w:color w:val="0D0D0D"/>
          <w:sz w:val="22"/>
          <w:szCs w:val="22"/>
        </w:rPr>
        <w:t xml:space="preserve"> más bajo, se </w:t>
      </w:r>
      <w:proofErr w:type="spellStart"/>
      <w:r w:rsidRPr="00A915BE">
        <w:rPr>
          <w:color w:val="0D0D0D"/>
          <w:sz w:val="22"/>
          <w:szCs w:val="22"/>
        </w:rPr>
        <w:t>destacan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las</w:t>
      </w:r>
      <w:proofErr w:type="spellEnd"/>
      <w:r w:rsidRPr="00A915BE">
        <w:rPr>
          <w:color w:val="0D0D0D"/>
          <w:sz w:val="22"/>
          <w:szCs w:val="22"/>
        </w:rPr>
        <w:t xml:space="preserve"> personas negras y pardas, presentando una </w:t>
      </w:r>
      <w:proofErr w:type="spellStart"/>
      <w:r w:rsidRPr="00A915BE">
        <w:rPr>
          <w:color w:val="0D0D0D"/>
          <w:sz w:val="22"/>
          <w:szCs w:val="22"/>
        </w:rPr>
        <w:t>correlación</w:t>
      </w:r>
      <w:proofErr w:type="spellEnd"/>
      <w:r w:rsidRPr="00A915BE">
        <w:rPr>
          <w:color w:val="0D0D0D"/>
          <w:sz w:val="22"/>
          <w:szCs w:val="22"/>
        </w:rPr>
        <w:t xml:space="preserve"> negativa. Por </w:t>
      </w:r>
      <w:proofErr w:type="spellStart"/>
      <w:r w:rsidRPr="00A915BE">
        <w:rPr>
          <w:color w:val="0D0D0D"/>
          <w:sz w:val="22"/>
          <w:szCs w:val="22"/>
        </w:rPr>
        <w:t>lo</w:t>
      </w:r>
      <w:proofErr w:type="spellEnd"/>
      <w:r w:rsidRPr="00A915BE">
        <w:rPr>
          <w:color w:val="0D0D0D"/>
          <w:sz w:val="22"/>
          <w:szCs w:val="22"/>
        </w:rPr>
        <w:t xml:space="preserve"> tanto, </w:t>
      </w:r>
      <w:proofErr w:type="spellStart"/>
      <w:r w:rsidRPr="00A915BE">
        <w:rPr>
          <w:color w:val="0D0D0D"/>
          <w:sz w:val="22"/>
          <w:szCs w:val="22"/>
        </w:rPr>
        <w:t>la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investigación</w:t>
      </w:r>
      <w:proofErr w:type="spellEnd"/>
      <w:r w:rsidRPr="00A915BE">
        <w:rPr>
          <w:color w:val="0D0D0D"/>
          <w:sz w:val="22"/>
          <w:szCs w:val="22"/>
        </w:rPr>
        <w:t xml:space="preserve"> es </w:t>
      </w:r>
      <w:proofErr w:type="spellStart"/>
      <w:r w:rsidRPr="00A915BE">
        <w:rPr>
          <w:color w:val="0D0D0D"/>
          <w:sz w:val="22"/>
          <w:szCs w:val="22"/>
        </w:rPr>
        <w:t>esencial</w:t>
      </w:r>
      <w:proofErr w:type="spellEnd"/>
      <w:r w:rsidRPr="00A915BE">
        <w:rPr>
          <w:color w:val="0D0D0D"/>
          <w:sz w:val="22"/>
          <w:szCs w:val="22"/>
        </w:rPr>
        <w:t xml:space="preserve"> para </w:t>
      </w:r>
      <w:proofErr w:type="spellStart"/>
      <w:r w:rsidRPr="00A915BE">
        <w:rPr>
          <w:color w:val="0D0D0D"/>
          <w:sz w:val="22"/>
          <w:szCs w:val="22"/>
        </w:rPr>
        <w:t>comprender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las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transformaciones</w:t>
      </w:r>
      <w:proofErr w:type="spellEnd"/>
      <w:r w:rsidRPr="00A915BE">
        <w:rPr>
          <w:color w:val="0D0D0D"/>
          <w:sz w:val="22"/>
          <w:szCs w:val="22"/>
        </w:rPr>
        <w:t xml:space="preserve"> urbanas y </w:t>
      </w:r>
      <w:proofErr w:type="spellStart"/>
      <w:r w:rsidRPr="00A915BE">
        <w:rPr>
          <w:color w:val="0D0D0D"/>
          <w:sz w:val="22"/>
          <w:szCs w:val="22"/>
        </w:rPr>
        <w:t>su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relación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con</w:t>
      </w:r>
      <w:proofErr w:type="spellEnd"/>
      <w:r w:rsidRPr="00A915BE">
        <w:rPr>
          <w:color w:val="0D0D0D"/>
          <w:sz w:val="22"/>
          <w:szCs w:val="22"/>
        </w:rPr>
        <w:t xml:space="preserve"> </w:t>
      </w:r>
      <w:proofErr w:type="spellStart"/>
      <w:r w:rsidRPr="00A915BE">
        <w:rPr>
          <w:color w:val="0D0D0D"/>
          <w:sz w:val="22"/>
          <w:szCs w:val="22"/>
        </w:rPr>
        <w:t>los</w:t>
      </w:r>
      <w:proofErr w:type="spellEnd"/>
      <w:r w:rsidRPr="00A915BE">
        <w:rPr>
          <w:color w:val="0D0D0D"/>
          <w:sz w:val="22"/>
          <w:szCs w:val="22"/>
        </w:rPr>
        <w:t xml:space="preserve"> grupos étnico-</w:t>
      </w:r>
      <w:proofErr w:type="spellStart"/>
      <w:r w:rsidRPr="00A915BE">
        <w:rPr>
          <w:color w:val="0D0D0D"/>
          <w:sz w:val="22"/>
          <w:szCs w:val="22"/>
        </w:rPr>
        <w:t>raciales</w:t>
      </w:r>
      <w:proofErr w:type="spellEnd"/>
      <w:r w:rsidRPr="00A915BE">
        <w:rPr>
          <w:color w:val="0D0D0D"/>
          <w:sz w:val="22"/>
          <w:szCs w:val="22"/>
        </w:rPr>
        <w:t>.</w:t>
      </w:r>
    </w:p>
    <w:p w:rsidR="00971142" w:rsidRPr="00261214" w:rsidRDefault="00FD1542" w:rsidP="00BC4261">
      <w:pPr>
        <w:ind w:right="142"/>
        <w:jc w:val="both"/>
        <w:rPr>
          <w:sz w:val="22"/>
          <w:szCs w:val="22"/>
        </w:rPr>
      </w:pPr>
      <w:proofErr w:type="spellStart"/>
      <w:r>
        <w:rPr>
          <w:b/>
        </w:rPr>
        <w:t>Palabras</w:t>
      </w:r>
      <w:proofErr w:type="spellEnd"/>
      <w:r w:rsidR="003B3101">
        <w:rPr>
          <w:b/>
        </w:rPr>
        <w:t>-</w:t>
      </w:r>
      <w:r>
        <w:rPr>
          <w:b/>
        </w:rPr>
        <w:t>clave</w:t>
      </w:r>
      <w:r>
        <w:rPr>
          <w:b/>
          <w:sz w:val="22"/>
          <w:szCs w:val="22"/>
        </w:rPr>
        <w:t>:</w:t>
      </w:r>
      <w:r w:rsidRPr="00261214">
        <w:rPr>
          <w:sz w:val="22"/>
          <w:szCs w:val="22"/>
        </w:rPr>
        <w:t xml:space="preserve"> </w:t>
      </w:r>
      <w:proofErr w:type="spellStart"/>
      <w:r w:rsidR="00261214">
        <w:rPr>
          <w:sz w:val="22"/>
          <w:szCs w:val="22"/>
        </w:rPr>
        <w:t>G</w:t>
      </w:r>
      <w:r w:rsidR="00261214" w:rsidRPr="00261214">
        <w:rPr>
          <w:sz w:val="22"/>
          <w:szCs w:val="22"/>
        </w:rPr>
        <w:t>eoprocesamien</w:t>
      </w:r>
      <w:r w:rsidR="00261214">
        <w:rPr>
          <w:sz w:val="22"/>
          <w:szCs w:val="22"/>
        </w:rPr>
        <w:t>to</w:t>
      </w:r>
      <w:proofErr w:type="spellEnd"/>
      <w:r w:rsidR="00261214">
        <w:rPr>
          <w:sz w:val="22"/>
          <w:szCs w:val="22"/>
        </w:rPr>
        <w:t xml:space="preserve">; </w:t>
      </w:r>
      <w:proofErr w:type="spellStart"/>
      <w:r w:rsidR="00261214">
        <w:rPr>
          <w:sz w:val="22"/>
          <w:szCs w:val="22"/>
        </w:rPr>
        <w:t>Justicia</w:t>
      </w:r>
      <w:proofErr w:type="spellEnd"/>
      <w:r w:rsidR="00261214">
        <w:rPr>
          <w:sz w:val="22"/>
          <w:szCs w:val="22"/>
        </w:rPr>
        <w:t xml:space="preserve"> A</w:t>
      </w:r>
      <w:r w:rsidR="001A2984">
        <w:rPr>
          <w:sz w:val="22"/>
          <w:szCs w:val="22"/>
        </w:rPr>
        <w:t xml:space="preserve">mbiental; </w:t>
      </w:r>
      <w:proofErr w:type="spellStart"/>
      <w:r w:rsidR="001A2984">
        <w:rPr>
          <w:sz w:val="22"/>
          <w:szCs w:val="22"/>
        </w:rPr>
        <w:t>Desigualdad</w:t>
      </w:r>
      <w:proofErr w:type="spellEnd"/>
      <w:r w:rsidR="001A2984">
        <w:rPr>
          <w:sz w:val="22"/>
          <w:szCs w:val="22"/>
        </w:rPr>
        <w:t xml:space="preserve"> Ambiental</w:t>
      </w:r>
      <w:r w:rsidR="00261214" w:rsidRPr="00261214">
        <w:rPr>
          <w:sz w:val="22"/>
          <w:szCs w:val="22"/>
        </w:rPr>
        <w:t>.</w:t>
      </w:r>
    </w:p>
    <w:p w:rsidR="00971142" w:rsidRDefault="00971142" w:rsidP="00283564">
      <w:pPr>
        <w:ind w:right="851"/>
        <w:jc w:val="both"/>
        <w:rPr>
          <w:sz w:val="20"/>
          <w:szCs w:val="20"/>
        </w:rPr>
      </w:pPr>
    </w:p>
    <w:p w:rsidR="00491298" w:rsidRDefault="00491298" w:rsidP="002835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71142" w:rsidRDefault="006610ED" w:rsidP="006610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 xml:space="preserve">INTRODUÇÃO </w:t>
      </w:r>
    </w:p>
    <w:p w:rsidR="006610ED" w:rsidRPr="009879A4" w:rsidRDefault="006610ED" w:rsidP="00BC4261">
      <w:pPr>
        <w:spacing w:line="360" w:lineRule="auto"/>
        <w:ind w:firstLine="697"/>
        <w:jc w:val="both"/>
      </w:pPr>
      <w:r w:rsidRPr="0091638B">
        <w:rPr>
          <w:b/>
          <w:color w:val="FF0000"/>
        </w:rPr>
        <w:tab/>
      </w:r>
      <w:r w:rsidRPr="009879A4">
        <w:t>A evolução das sociedades demonstra forma</w:t>
      </w:r>
      <w:r w:rsidR="0091638B" w:rsidRPr="009879A4">
        <w:t>s</w:t>
      </w:r>
      <w:r w:rsidRPr="009879A4">
        <w:t xml:space="preserve"> de consumo configurad</w:t>
      </w:r>
      <w:r w:rsidR="0091638B" w:rsidRPr="009879A4">
        <w:t>as</w:t>
      </w:r>
      <w:r w:rsidRPr="009879A4">
        <w:t xml:space="preserve"> </w:t>
      </w:r>
      <w:r w:rsidR="0091638B" w:rsidRPr="009879A4">
        <w:t>num</w:t>
      </w:r>
      <w:r w:rsidRPr="009879A4">
        <w:t xml:space="preserve">a relação </w:t>
      </w:r>
      <w:r w:rsidR="0091638B" w:rsidRPr="009879A4">
        <w:t xml:space="preserve">entre </w:t>
      </w:r>
      <w:r w:rsidRPr="009879A4">
        <w:t>h</w:t>
      </w:r>
      <w:r w:rsidR="0091638B" w:rsidRPr="009879A4">
        <w:t>umanos e n</w:t>
      </w:r>
      <w:r w:rsidRPr="009879A4">
        <w:t xml:space="preserve">atureza refém do capital, o </w:t>
      </w:r>
      <w:r w:rsidR="0091638B" w:rsidRPr="009879A4">
        <w:t xml:space="preserve">que poderá levar </w:t>
      </w:r>
      <w:r w:rsidRPr="009879A4">
        <w:t>ao colapso</w:t>
      </w:r>
      <w:r w:rsidR="0091638B" w:rsidRPr="009879A4">
        <w:t xml:space="preserve"> ambiental</w:t>
      </w:r>
      <w:r w:rsidRPr="009879A4">
        <w:t>. Dentro deste cenário, pensadores abrem discussões e levantam meios de se instaurar uma sociedade em equilíbrio, que luta pela sustentabilidade e por justiça ambiental (COPETTI &amp; LOTTERMANN, 2010).</w:t>
      </w:r>
    </w:p>
    <w:p w:rsidR="00BC4261" w:rsidRDefault="00BC4261" w:rsidP="00BC4261">
      <w:pPr>
        <w:spacing w:line="360" w:lineRule="auto"/>
        <w:ind w:firstLine="697"/>
        <w:jc w:val="both"/>
      </w:pPr>
      <w:r>
        <w:t xml:space="preserve">Nesta perspectiva, Beck (2011) denomina esta sociedade de “sociedade de risco”, a qual o comportamento gera efeitos diretos na natureza e nos próprios seres humanos, sendo este o maior risco, criado a partir de disputas e interesses de grupos seletos, adoecendo a sociedade, gerando incertezas, medos, injustiça e insegurança, principalmente para os indivíduos mais vulneráveis, que vivem em locais </w:t>
      </w:r>
      <w:r w:rsidR="0091638B">
        <w:t>com</w:t>
      </w:r>
      <w:r>
        <w:t xml:space="preserve"> degradação ambiental.</w:t>
      </w:r>
    </w:p>
    <w:p w:rsidR="00646459" w:rsidRDefault="00646459" w:rsidP="00CD1F3A">
      <w:pPr>
        <w:autoSpaceDE w:val="0"/>
        <w:autoSpaceDN w:val="0"/>
        <w:adjustRightInd w:val="0"/>
        <w:spacing w:line="360" w:lineRule="auto"/>
        <w:ind w:firstLine="697"/>
        <w:jc w:val="both"/>
        <w:rPr>
          <w:lang w:eastAsia="pt-BR"/>
        </w:rPr>
      </w:pPr>
      <w:r>
        <w:t xml:space="preserve">Nesse sentido, é importante </w:t>
      </w:r>
      <w:r>
        <w:rPr>
          <w:lang w:eastAsia="pt-BR"/>
        </w:rPr>
        <w:t>as leituras de diferenciações socioespaciais e também de segregação, in</w:t>
      </w:r>
      <w:r w:rsidR="00BB290E">
        <w:rPr>
          <w:lang w:eastAsia="pt-BR"/>
        </w:rPr>
        <w:t>cluindo a questão étnico-racial</w:t>
      </w:r>
      <w:r w:rsidR="00BB290E">
        <w:rPr>
          <w:rStyle w:val="Refdenotaderodap"/>
          <w:lang w:eastAsia="pt-BR"/>
        </w:rPr>
        <w:footnoteReference w:id="1"/>
      </w:r>
      <w:r w:rsidR="00BB290E">
        <w:rPr>
          <w:lang w:eastAsia="pt-BR"/>
        </w:rPr>
        <w:t xml:space="preserve"> </w:t>
      </w:r>
      <w:r>
        <w:rPr>
          <w:lang w:eastAsia="pt-BR"/>
        </w:rPr>
        <w:t xml:space="preserve">no Brasil, onde passou por períodos de invisibilidade e problematização. Diante disso, o Estado se torna um ator altamente relevante nesse processo de ordenamento espacial, sendo coagido pelas classes dominantes financiadas </w:t>
      </w:r>
      <w:r>
        <w:rPr>
          <w:lang w:eastAsia="pt-BR"/>
        </w:rPr>
        <w:lastRenderedPageBreak/>
        <w:t xml:space="preserve">pelo capital. Portanto, entender essa diferenciação socioespacial, </w:t>
      </w:r>
      <w:r w:rsidR="00962D2E">
        <w:rPr>
          <w:lang w:eastAsia="pt-BR"/>
        </w:rPr>
        <w:t>influenciada pela desigualdade e pelos contrastes sociais, e</w:t>
      </w:r>
      <w:r>
        <w:rPr>
          <w:lang w:eastAsia="pt-BR"/>
        </w:rPr>
        <w:t xml:space="preserve"> contextos de interação e reprodução dos espaços de riqueza e de pobreza</w:t>
      </w:r>
      <w:r w:rsidR="00A9766E">
        <w:rPr>
          <w:lang w:eastAsia="pt-BR"/>
        </w:rPr>
        <w:t>,</w:t>
      </w:r>
      <w:r>
        <w:rPr>
          <w:lang w:eastAsia="pt-BR"/>
        </w:rPr>
        <w:t xml:space="preserve"> torna-se essencial </w:t>
      </w:r>
      <w:r w:rsidR="00962D2E">
        <w:rPr>
          <w:lang w:eastAsia="pt-BR"/>
        </w:rPr>
        <w:t xml:space="preserve">a sua assimilação </w:t>
      </w:r>
      <w:r>
        <w:rPr>
          <w:lang w:eastAsia="pt-BR"/>
        </w:rPr>
        <w:t>para o suporte de políticas públicas</w:t>
      </w:r>
      <w:r w:rsidR="00CD1F3A">
        <w:rPr>
          <w:lang w:eastAsia="pt-BR"/>
        </w:rPr>
        <w:t xml:space="preserve"> e na desconstrução de olhares enviesados da discriminação e do preconceito nas relações sociais</w:t>
      </w:r>
      <w:r>
        <w:rPr>
          <w:lang w:eastAsia="pt-BR"/>
        </w:rPr>
        <w:t xml:space="preserve"> (FERREIRA &amp; RATTS, </w:t>
      </w:r>
      <w:r>
        <w:t>2016)</w:t>
      </w:r>
      <w:r>
        <w:rPr>
          <w:lang w:eastAsia="pt-BR"/>
        </w:rPr>
        <w:t>.</w:t>
      </w:r>
    </w:p>
    <w:p w:rsidR="00BC4261" w:rsidRPr="00D75ACD" w:rsidRDefault="00BC4261" w:rsidP="00BC4261">
      <w:pPr>
        <w:spacing w:line="360" w:lineRule="auto"/>
        <w:ind w:firstLine="697"/>
        <w:jc w:val="both"/>
      </w:pPr>
      <w:r w:rsidRPr="00D75ACD">
        <w:t>Os impactos ambientais nos grandes centros urbanos acarretam não somente as problemáticas ecológicas, mas trazem consigo também os conflitos sociais, modificando as organizações que se mobilizam contra essas injustiças e riscos</w:t>
      </w:r>
      <w:r w:rsidR="0091638B" w:rsidRPr="00D75ACD">
        <w:t>. A</w:t>
      </w:r>
      <w:r w:rsidRPr="00D75ACD">
        <w:t xml:space="preserve"> “ecoeficiência” define essa relação </w:t>
      </w:r>
      <w:r w:rsidR="0091638B" w:rsidRPr="00D75ACD">
        <w:t xml:space="preserve">apenas </w:t>
      </w:r>
      <w:r w:rsidRPr="00D75ACD">
        <w:t>como causa e efeito, interligando a natureza, seus recursos e a sociedade, que fica</w:t>
      </w:r>
      <w:r w:rsidR="0091638B" w:rsidRPr="00D75ACD">
        <w:t>m</w:t>
      </w:r>
      <w:r w:rsidRPr="00D75ACD">
        <w:t xml:space="preserve"> reféns das políticas e estratégias de gestão</w:t>
      </w:r>
      <w:r w:rsidR="0091638B" w:rsidRPr="00D75ACD">
        <w:t xml:space="preserve">, sem </w:t>
      </w:r>
      <w:r w:rsidRPr="00D75ACD">
        <w:t>zelo pela natureza</w:t>
      </w:r>
      <w:r w:rsidR="0091638B" w:rsidRPr="00D75ACD">
        <w:t xml:space="preserve"> e</w:t>
      </w:r>
      <w:r w:rsidRPr="00D75ACD">
        <w:t xml:space="preserve"> pela sustentabilidade, diferentemente dos preceitos da ecologia do cotidiano e da justiça ambiental (MARTINEZ,</w:t>
      </w:r>
      <w:r w:rsidR="0091638B" w:rsidRPr="00D75ACD">
        <w:t xml:space="preserve"> </w:t>
      </w:r>
      <w:r w:rsidRPr="00D75ACD">
        <w:t>1992).</w:t>
      </w:r>
    </w:p>
    <w:p w:rsidR="00BC4261" w:rsidRPr="00D75ACD" w:rsidRDefault="00BC4261" w:rsidP="00BC4261">
      <w:pPr>
        <w:spacing w:line="360" w:lineRule="auto"/>
        <w:ind w:firstLine="697"/>
        <w:jc w:val="both"/>
      </w:pPr>
      <w:r w:rsidRPr="00D75ACD">
        <w:t>Em meio a este contexto, crescem os conflitos socioambientais</w:t>
      </w:r>
      <w:r w:rsidR="0091638B" w:rsidRPr="00D75ACD">
        <w:t xml:space="preserve"> e</w:t>
      </w:r>
      <w:r w:rsidRPr="00D75ACD">
        <w:t xml:space="preserve"> as lutas por justiça ambiental junto a movimentos ligados </w:t>
      </w:r>
      <w:r w:rsidR="0091638B" w:rsidRPr="00D75ACD">
        <w:t>à</w:t>
      </w:r>
      <w:r w:rsidRPr="00D75ACD">
        <w:t xml:space="preserve"> preservação do ecossistema, contra a “</w:t>
      </w:r>
      <w:proofErr w:type="spellStart"/>
      <w:r w:rsidRPr="00D75ACD">
        <w:t>ecotoxidade</w:t>
      </w:r>
      <w:proofErr w:type="spellEnd"/>
      <w:r w:rsidRPr="00D75ACD">
        <w:t>”</w:t>
      </w:r>
      <w:r w:rsidR="0091638B" w:rsidRPr="00D75ACD">
        <w:t>. O</w:t>
      </w:r>
      <w:r w:rsidRPr="00D75ACD">
        <w:t xml:space="preserve">s impactos são diversos em intensidade e incidência sobre os grupos étnicos específicos que não possuem </w:t>
      </w:r>
      <w:r w:rsidR="0091638B" w:rsidRPr="00D75ACD">
        <w:t xml:space="preserve">baixo </w:t>
      </w:r>
      <w:r w:rsidRPr="00D75ACD">
        <w:t>poder econômico, avaliados por variáveis como degradação ambiental, locais de moradia, raça e renda, o que possibilita análises que constatam a pobreza</w:t>
      </w:r>
      <w:r w:rsidR="0091638B" w:rsidRPr="00D75ACD">
        <w:t xml:space="preserve">, a </w:t>
      </w:r>
      <w:r w:rsidRPr="00D75ACD">
        <w:t>desproteção ambiental e a exposição a riscos, que podem ou não ser evitados (GIDDENS 1996, 2009 ; COPETTI &amp; LOTTERMANN, 2010).</w:t>
      </w:r>
    </w:p>
    <w:p w:rsidR="00BC4261" w:rsidRDefault="00BC4261" w:rsidP="00BC4261">
      <w:pPr>
        <w:spacing w:line="360" w:lineRule="auto"/>
        <w:ind w:firstLine="708"/>
        <w:jc w:val="both"/>
        <w:rPr>
          <w:lang w:eastAsia="pt-BR"/>
        </w:rPr>
      </w:pPr>
      <w:r>
        <w:t>O conceito de justiça ambiental emergiu na década de 1970 nos Estados Unidos, entre movimentos sociais de negros, índios, latinos e populações de baixa renda, vizinhos de depósitos de lixos químicos e radioativos e de indústrias com efluentes poluentes. O princípio da justiça ambiental é que populações vulneráveis não sejam expostas a uma carga maior de problemas ambientais (MORATO, 2007).</w:t>
      </w:r>
    </w:p>
    <w:p w:rsidR="00BC4261" w:rsidRDefault="00BC4261" w:rsidP="00BC4261">
      <w:pPr>
        <w:spacing w:line="360" w:lineRule="auto"/>
        <w:ind w:firstLine="697"/>
        <w:jc w:val="both"/>
      </w:pPr>
      <w:r>
        <w:t>Estas áreas mais fragilizadas ambientalmente apresentam muitas instabilidades e riscos como inundações, escorregamentos, contaminadas, com falta de infraestrutura urbana, serviços públicos e arborização em seus locais de residência. Quanto maior a concentração dos problemas ambientais decorrentes da ausência dos serviços públicos e infraestrutura urbana entre a população mais vulnerável, maior a injustiça ambiental</w:t>
      </w:r>
      <w:r w:rsidR="0091638B">
        <w:t xml:space="preserve"> </w:t>
      </w:r>
      <w:r>
        <w:t>(MORATO; MACHADO; MARTINEZ, 2018).</w:t>
      </w:r>
    </w:p>
    <w:p w:rsidR="00BC4261" w:rsidRDefault="00BC4261" w:rsidP="00BC4261">
      <w:pPr>
        <w:spacing w:line="360" w:lineRule="auto"/>
        <w:ind w:firstLine="708"/>
        <w:jc w:val="both"/>
        <w:rPr>
          <w:lang w:eastAsia="pt-BR"/>
        </w:rPr>
      </w:pPr>
      <w:r>
        <w:t xml:space="preserve">Segundo Morato (2007), a qualidade do ambiente urbano </w:t>
      </w:r>
      <w:r w:rsidR="0091638B">
        <w:t xml:space="preserve">se </w:t>
      </w:r>
      <w:r>
        <w:t xml:space="preserve">torna um dos aspectos mais importantes para a determinação da qualidade de vida da população. Sob o ponto de vista social, </w:t>
      </w:r>
      <w:r>
        <w:lastRenderedPageBreak/>
        <w:t>o aumento da conscientização de que problemas ambientais podem afetar a saúde da população, associado ao crescimento da urbanização, cria a necessidade de avaliação da qualidade ambiental das áreas urbanas.</w:t>
      </w:r>
    </w:p>
    <w:p w:rsidR="00BC4261" w:rsidRDefault="00BC4261" w:rsidP="00BC4261">
      <w:pPr>
        <w:spacing w:line="360" w:lineRule="auto"/>
        <w:ind w:firstLine="708"/>
        <w:jc w:val="both"/>
        <w:rPr>
          <w:lang w:eastAsia="pt-BR"/>
        </w:rPr>
      </w:pPr>
      <w:r>
        <w:t xml:space="preserve">Entende-se por </w:t>
      </w:r>
      <w:r w:rsidR="0091638B">
        <w:t>j</w:t>
      </w:r>
      <w:r>
        <w:t xml:space="preserve">ustiça </w:t>
      </w:r>
      <w:r w:rsidR="0091638B">
        <w:t>a</w:t>
      </w:r>
      <w:r>
        <w:t>mbiental o conjunto de princípios que asseguram que nenhum grupo de pessoas, sejam grupos étnicos, raciais ou de classe, suporte uma parcela desproporcional das consequências ambientais negativas de operações econômicas, de políticas e programas federais, estaduais e locais, bem como resultantes da ausência ou omissão de tais políticas (MORATO, 2007).</w:t>
      </w:r>
    </w:p>
    <w:p w:rsidR="00BC4261" w:rsidRPr="00D75ACD" w:rsidRDefault="00BC4261" w:rsidP="00BC4261">
      <w:pPr>
        <w:spacing w:line="360" w:lineRule="auto"/>
        <w:ind w:firstLine="720"/>
        <w:jc w:val="both"/>
        <w:rPr>
          <w:lang w:eastAsia="pt-BR"/>
        </w:rPr>
      </w:pPr>
      <w:r w:rsidRPr="00D75ACD">
        <w:t xml:space="preserve">Para Herculano (2008), o </w:t>
      </w:r>
      <w:r w:rsidR="0091638B" w:rsidRPr="00D75ACD">
        <w:t>r</w:t>
      </w:r>
      <w:r w:rsidRPr="00D75ACD">
        <w:t xml:space="preserve">acismo </w:t>
      </w:r>
      <w:r w:rsidR="0091638B" w:rsidRPr="00D75ACD">
        <w:t>a</w:t>
      </w:r>
      <w:r w:rsidRPr="00D75ACD">
        <w:t xml:space="preserve">mbiental diz respeito às injustiças sociais e ambientais que recaem de forma desproporcional sobre etnias </w:t>
      </w:r>
      <w:proofErr w:type="spellStart"/>
      <w:r w:rsidRPr="00D75ACD">
        <w:t>vulnerabilizadas</w:t>
      </w:r>
      <w:proofErr w:type="spellEnd"/>
      <w:r w:rsidRPr="00D75ACD">
        <w:t xml:space="preserve">. </w:t>
      </w:r>
      <w:r w:rsidR="0091638B" w:rsidRPr="00D75ACD">
        <w:t>Assim, o</w:t>
      </w:r>
      <w:r w:rsidRPr="00D75ACD">
        <w:t xml:space="preserve"> racismo ambiental não se configura apenas por meio de ações que tenham uma intenção racista, mas igualmente por meio de ações que tenham impacto racial, não obstante a intenção que lhes tenha dado origem. A desigualdade e </w:t>
      </w:r>
      <w:r w:rsidR="00296309" w:rsidRPr="00D75ACD">
        <w:t xml:space="preserve">a </w:t>
      </w:r>
      <w:r w:rsidRPr="00D75ACD">
        <w:t>injustiça ambienta</w:t>
      </w:r>
      <w:r w:rsidR="00D75ACD">
        <w:t>l</w:t>
      </w:r>
      <w:r w:rsidRPr="00D75ACD">
        <w:t xml:space="preserve"> reca</w:t>
      </w:r>
      <w:r w:rsidR="00296309" w:rsidRPr="00D75ACD">
        <w:t>em</w:t>
      </w:r>
      <w:r w:rsidRPr="00D75ACD">
        <w:t xml:space="preserve"> de forma específica sobre todo grupo de populações ditas tradicionais (ribeirinhos, extrativistas, </w:t>
      </w:r>
      <w:proofErr w:type="spellStart"/>
      <w:r w:rsidRPr="00D75ACD">
        <w:t>geraizeiros</w:t>
      </w:r>
      <w:proofErr w:type="spellEnd"/>
      <w:r w:rsidRPr="00D75ACD">
        <w:t xml:space="preserve">, pescadores, pantaneiros, caiçaras, </w:t>
      </w:r>
      <w:proofErr w:type="spellStart"/>
      <w:r w:rsidRPr="00D75ACD">
        <w:t>vazanteiros</w:t>
      </w:r>
      <w:proofErr w:type="spellEnd"/>
      <w:r w:rsidRPr="00D75ACD">
        <w:t xml:space="preserve">, ciganos, </w:t>
      </w:r>
      <w:proofErr w:type="spellStart"/>
      <w:r w:rsidRPr="00D75ACD">
        <w:t>pomeranos</w:t>
      </w:r>
      <w:proofErr w:type="spellEnd"/>
      <w:r w:rsidRPr="00D75ACD">
        <w:t>, comunidades de terreiro, faxinais, quilombolas), que têm se defrontado com a ‘chegada do estranho’.</w:t>
      </w:r>
    </w:p>
    <w:p w:rsidR="00BC4261" w:rsidRDefault="00BC4261" w:rsidP="00BC4261">
      <w:pPr>
        <w:spacing w:line="360" w:lineRule="auto"/>
        <w:ind w:firstLine="720"/>
        <w:jc w:val="both"/>
        <w:rPr>
          <w:lang w:eastAsia="pt-BR"/>
        </w:rPr>
      </w:pPr>
      <w:r>
        <w:t xml:space="preserve">Isto é, de grandes empreendimentos desenvolvimentistas (barragens, projetos de monocultura, </w:t>
      </w:r>
      <w:proofErr w:type="spellStart"/>
      <w:r>
        <w:t>carcinicultura</w:t>
      </w:r>
      <w:proofErr w:type="spellEnd"/>
      <w:r>
        <w:t xml:space="preserve">, </w:t>
      </w:r>
      <w:proofErr w:type="spellStart"/>
      <w:r>
        <w:t>maricultura</w:t>
      </w:r>
      <w:proofErr w:type="spellEnd"/>
      <w:r>
        <w:t>, hidrovias e rodovias)</w:t>
      </w:r>
      <w:r w:rsidR="00296309">
        <w:t>,</w:t>
      </w:r>
      <w:r>
        <w:t xml:space="preserve"> que os expelem de seus territórios e desorganizam suas culturas, seja empurrando-os para as favelas das periferias urbanas, seja forçando-os a conviver com um cotidiano de envenenamento e degradação de seus ambientes de vida (HERCULANO, 2008; ALVES 2007).</w:t>
      </w:r>
    </w:p>
    <w:p w:rsidR="00BC4261" w:rsidRPr="00491298" w:rsidRDefault="00BC4261" w:rsidP="00BC4261">
      <w:pPr>
        <w:spacing w:line="360" w:lineRule="auto"/>
        <w:ind w:firstLine="697"/>
        <w:jc w:val="both"/>
      </w:pPr>
      <w:r w:rsidRPr="00491298">
        <w:t>Trindade Júnior (2016) ressalta que</w:t>
      </w:r>
      <w:r w:rsidR="00296309" w:rsidRPr="00491298">
        <w:t>,</w:t>
      </w:r>
      <w:r w:rsidRPr="00491298">
        <w:t xml:space="preserve"> no contexto amazônico, as relações capitalistas tomam maiores dimensões, tanto em espaço geográfico (urbanização) como para o crescimento industrial, tornando-se uma fronteira econômica na busca por novos recursos destinados ao mercado econômico. Belém</w:t>
      </w:r>
      <w:r w:rsidR="00296309" w:rsidRPr="00491298">
        <w:t>,</w:t>
      </w:r>
      <w:r w:rsidRPr="00491298">
        <w:t xml:space="preserve"> por exemplo, </w:t>
      </w:r>
      <w:r w:rsidR="00296309" w:rsidRPr="00491298">
        <w:t>foi</w:t>
      </w:r>
      <w:r w:rsidRPr="00491298">
        <w:t xml:space="preserve"> uma das primeiras cidades a iniciar a metropolização na região norte, com ocupações informais e irregulares, segregação socioespacial, vulnerabilidade socioeconômica e desigualdade social (FERNANDES; SOUZA; RODRIGUES, 2015).</w:t>
      </w:r>
    </w:p>
    <w:p w:rsidR="006610ED" w:rsidRPr="00491298" w:rsidRDefault="00BC4261" w:rsidP="00BC4261">
      <w:pPr>
        <w:spacing w:line="360" w:lineRule="auto"/>
        <w:ind w:firstLine="697"/>
        <w:jc w:val="both"/>
      </w:pPr>
      <w:r>
        <w:t xml:space="preserve">O índice de qualidade ambiental é uma ferramenta essencial para </w:t>
      </w:r>
      <w:r w:rsidR="00296309">
        <w:t xml:space="preserve">a </w:t>
      </w:r>
      <w:r>
        <w:t xml:space="preserve">tomada de decisões que englobam as políticas públicas de habitação e planejamento urbano. A identificação da </w:t>
      </w:r>
      <w:r w:rsidRPr="00491298">
        <w:t>qualidade ambiental e justiça ambiental</w:t>
      </w:r>
      <w:r w:rsidR="00296309" w:rsidRPr="00491298">
        <w:t xml:space="preserve"> se</w:t>
      </w:r>
      <w:r w:rsidRPr="00491298">
        <w:t xml:space="preserve"> constitui</w:t>
      </w:r>
      <w:r w:rsidR="00296309" w:rsidRPr="00491298">
        <w:t xml:space="preserve"> </w:t>
      </w:r>
      <w:r w:rsidRPr="00491298">
        <w:t xml:space="preserve">um precioso instrumento para o planejamento por parte dos órgãos públicos e fornece argumentos consistentes para a </w:t>
      </w:r>
      <w:r w:rsidRPr="00491298">
        <w:lastRenderedPageBreak/>
        <w:t xml:space="preserve">reivindicação de soluções por parte de movimentos sociais, como os movimentos por moradia. </w:t>
      </w:r>
      <w:r w:rsidR="00296309" w:rsidRPr="00491298">
        <w:t>Ness</w:t>
      </w:r>
      <w:r w:rsidRPr="00491298">
        <w:t xml:space="preserve">e contexto, </w:t>
      </w:r>
      <w:r w:rsidR="00296309" w:rsidRPr="00491298">
        <w:t>este artigo</w:t>
      </w:r>
      <w:r w:rsidRPr="00491298">
        <w:t xml:space="preserve"> tem por objetivo avaliar a qualidade ambiental e as relações étnico</w:t>
      </w:r>
      <w:r w:rsidR="00296309" w:rsidRPr="00491298">
        <w:t>-</w:t>
      </w:r>
      <w:r w:rsidRPr="00491298">
        <w:t>raciais sob a perspectiva da justiça ambiental no distrito</w:t>
      </w:r>
      <w:r w:rsidR="00491298">
        <w:t xml:space="preserve"> administrativo</w:t>
      </w:r>
      <w:r w:rsidRPr="00491298">
        <w:t xml:space="preserve"> de Belém, Pará.</w:t>
      </w:r>
    </w:p>
    <w:p w:rsidR="006610ED" w:rsidRDefault="006610ED" w:rsidP="006610ED">
      <w:pPr>
        <w:pBdr>
          <w:top w:val="nil"/>
          <w:left w:val="nil"/>
          <w:bottom w:val="nil"/>
          <w:right w:val="nil"/>
          <w:between w:val="nil"/>
        </w:pBdr>
        <w:spacing w:after="120"/>
        <w:ind w:left="727"/>
        <w:jc w:val="both"/>
        <w:rPr>
          <w:b/>
          <w:color w:val="000000"/>
        </w:rPr>
      </w:pPr>
    </w:p>
    <w:p w:rsidR="00971142" w:rsidRDefault="00BC4261" w:rsidP="00BC426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>METODOLOGIA</w:t>
      </w:r>
    </w:p>
    <w:p w:rsidR="00466A77" w:rsidRDefault="00466A77" w:rsidP="00BC426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>Área de estudo</w:t>
      </w:r>
    </w:p>
    <w:p w:rsidR="002D2AC2" w:rsidRDefault="00BC4261" w:rsidP="004252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  <w:color w:val="000000"/>
        </w:rPr>
        <w:tab/>
      </w:r>
      <w:r>
        <w:t xml:space="preserve">A área de estudo é o distrito administrativo de Belém (Figura 1), localizado no município de Belém. O município de Belém está localizado na </w:t>
      </w:r>
      <w:r w:rsidR="002D2AC2">
        <w:t>M</w:t>
      </w:r>
      <w:r>
        <w:t xml:space="preserve">esorregião do </w:t>
      </w:r>
      <w:r w:rsidR="002D2AC2">
        <w:t>N</w:t>
      </w:r>
      <w:r>
        <w:t>ordeste Paraense</w:t>
      </w:r>
      <w:r w:rsidR="002D2AC2">
        <w:t>,</w:t>
      </w:r>
      <w:r>
        <w:t xml:space="preserve"> sob as coordenadas geográficas 01°27´ S e 48°28’ W. Segundo dados do Plano Nacional de Amostra de Domicílios (PNAD), a população estimada para o município é de 1.499.641 habitantes, distribuídos num território de 1.059,466 km² (IBGE, 2020). O município de Belém, considerando a porção insular e continental, está dividido em oito distritos administrativos, englobando 39 ilhas e os 71 bairros (IBGE, 2010; MOREIRA &amp; VITORINO, 2017).</w:t>
      </w:r>
    </w:p>
    <w:p w:rsidR="00425208" w:rsidRDefault="00425208" w:rsidP="00425208">
      <w:pPr>
        <w:spacing w:line="360" w:lineRule="auto"/>
        <w:rPr>
          <w:lang w:eastAsia="pt-BR"/>
        </w:rPr>
      </w:pPr>
      <w:r w:rsidRPr="00425208">
        <w:rPr>
          <w:b/>
        </w:rPr>
        <w:t>Figura 1</w:t>
      </w:r>
      <w:r>
        <w:t>- Localização do Distrito Administrativo de Belém.</w:t>
      </w:r>
    </w:p>
    <w:p w:rsidR="00BC4261" w:rsidRDefault="00BC4261" w:rsidP="002835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760085" cy="407289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 distrito_oficial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208" w:rsidRDefault="00425208" w:rsidP="00425208">
      <w:pPr>
        <w:spacing w:line="360" w:lineRule="auto"/>
      </w:pPr>
      <w:r w:rsidRPr="00425208">
        <w:t>Fonte: Elaborado pelos autore</w:t>
      </w:r>
      <w:r>
        <w:t>s com base no IBGE (2010</w:t>
      </w:r>
      <w:r w:rsidR="00456F65">
        <w:t xml:space="preserve">; </w:t>
      </w:r>
      <w:r>
        <w:t>2023</w:t>
      </w:r>
      <w:r w:rsidRPr="00425208">
        <w:t>).</w:t>
      </w:r>
    </w:p>
    <w:p w:rsidR="00820665" w:rsidRDefault="00425208" w:rsidP="00713F45">
      <w:pPr>
        <w:spacing w:after="120" w:line="360" w:lineRule="auto"/>
        <w:jc w:val="both"/>
      </w:pPr>
      <w:r>
        <w:lastRenderedPageBreak/>
        <w:tab/>
        <w:t>O distrito administrativo de Belém (Figura 1) possui uma população de 144.946 habitantes</w:t>
      </w:r>
      <w:r w:rsidR="002D2AC2">
        <w:t>,</w:t>
      </w:r>
      <w:r>
        <w:t xml:space="preserve"> distribuídos em 161 setores censitários, abrangendo 12 bairros, sendo: Batista Campos, Canudos, Campina, Cidade Velha, Cremação, Guamá, Jurunas, Marco, Nazaré, Reduto, São Brás e Umarizal.</w:t>
      </w:r>
    </w:p>
    <w:p w:rsidR="00466A77" w:rsidRPr="00466A77" w:rsidRDefault="00466A77" w:rsidP="00425208">
      <w:pPr>
        <w:spacing w:line="360" w:lineRule="auto"/>
        <w:jc w:val="both"/>
        <w:rPr>
          <w:b/>
        </w:rPr>
      </w:pPr>
      <w:r w:rsidRPr="00466A77">
        <w:rPr>
          <w:b/>
        </w:rPr>
        <w:t>Procedimentos metodológicos</w:t>
      </w:r>
    </w:p>
    <w:p w:rsidR="00425208" w:rsidRDefault="00425208" w:rsidP="00425208">
      <w:pPr>
        <w:spacing w:line="360" w:lineRule="auto"/>
        <w:ind w:firstLine="720"/>
        <w:jc w:val="both"/>
      </w:pPr>
      <w:r w:rsidRPr="00283564">
        <w:t xml:space="preserve">A pesquisa utilizou dados do censo do </w:t>
      </w:r>
      <w:r w:rsidR="00456F65" w:rsidRPr="00283564">
        <w:t xml:space="preserve">Instituto Brasileiro de Geografia e Estatística – </w:t>
      </w:r>
      <w:r w:rsidRPr="00283564">
        <w:t>IBGE</w:t>
      </w:r>
      <w:r w:rsidR="00456F65" w:rsidRPr="00283564">
        <w:t xml:space="preserve"> </w:t>
      </w:r>
      <w:r w:rsidRPr="00283564">
        <w:t>(2010), e</w:t>
      </w:r>
      <w:r>
        <w:t xml:space="preserve"> baseou-se nos estudos de Morato, Machado, Martines (2018) e Morato (2008), utilizando as seguintes variáveis para o cálculo de qualidade ambiental conforme o Quadro 1.</w:t>
      </w:r>
    </w:p>
    <w:p w:rsidR="00425208" w:rsidRDefault="00425208" w:rsidP="00425208">
      <w:pPr>
        <w:spacing w:line="360" w:lineRule="auto"/>
        <w:rPr>
          <w:lang w:eastAsia="pt-BR"/>
        </w:rPr>
      </w:pPr>
      <w:r w:rsidRPr="00425208">
        <w:rPr>
          <w:b/>
        </w:rPr>
        <w:t>Quadro 1</w:t>
      </w:r>
      <w:r>
        <w:t>- Síntese dos indicadores que compõem a Qualidade Ambiental.</w:t>
      </w:r>
    </w:p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425208" w:rsidRPr="00CA3CF8" w:rsidTr="00425208">
        <w:trPr>
          <w:jc w:val="center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208" w:rsidRPr="00CA3CF8" w:rsidRDefault="00425208" w:rsidP="00425208">
            <w:pPr>
              <w:jc w:val="center"/>
              <w:rPr>
                <w:sz w:val="20"/>
                <w:szCs w:val="20"/>
                <w:lang w:eastAsia="pt-BR"/>
              </w:rPr>
            </w:pPr>
            <w:r w:rsidRPr="00CA3CF8">
              <w:rPr>
                <w:sz w:val="20"/>
                <w:szCs w:val="20"/>
              </w:rPr>
              <w:t>Abastecimento de Água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208" w:rsidRPr="00CA3CF8" w:rsidRDefault="00425208" w:rsidP="00425208">
            <w:pPr>
              <w:widowControl w:val="0"/>
              <w:jc w:val="center"/>
              <w:rPr>
                <w:sz w:val="20"/>
                <w:szCs w:val="20"/>
              </w:rPr>
            </w:pPr>
            <w:r w:rsidRPr="00CA3CF8">
              <w:rPr>
                <w:sz w:val="20"/>
                <w:szCs w:val="20"/>
              </w:rPr>
              <w:t>V012- Domicílios particulares permanentes com abastecimento de água da rede geral</w:t>
            </w:r>
          </w:p>
        </w:tc>
      </w:tr>
      <w:tr w:rsidR="00425208" w:rsidRPr="00CA3CF8" w:rsidTr="00425208">
        <w:trPr>
          <w:jc w:val="center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208" w:rsidRPr="00CA3CF8" w:rsidRDefault="00425208" w:rsidP="0042520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5208" w:rsidRPr="00CA3CF8" w:rsidRDefault="00425208" w:rsidP="00425208">
            <w:pPr>
              <w:widowControl w:val="0"/>
              <w:jc w:val="center"/>
              <w:rPr>
                <w:sz w:val="20"/>
                <w:szCs w:val="20"/>
              </w:rPr>
            </w:pPr>
            <w:r w:rsidRPr="00CA3CF8">
              <w:rPr>
                <w:sz w:val="20"/>
                <w:szCs w:val="20"/>
              </w:rPr>
              <w:t>Esgotamento Sanitário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208" w:rsidRPr="00CA3CF8" w:rsidRDefault="00425208" w:rsidP="00425208">
            <w:pPr>
              <w:widowControl w:val="0"/>
              <w:jc w:val="center"/>
              <w:rPr>
                <w:sz w:val="20"/>
                <w:szCs w:val="20"/>
              </w:rPr>
            </w:pPr>
            <w:r w:rsidRPr="00CA3CF8">
              <w:rPr>
                <w:sz w:val="20"/>
                <w:szCs w:val="20"/>
              </w:rPr>
              <w:t>V017- Domicílios particulares permanentes com banheiro de uso exclusivo dos moradores ou sanitário e esgotamento sanitário via rede geral de esgoto ou pluvial</w:t>
            </w:r>
          </w:p>
        </w:tc>
      </w:tr>
      <w:tr w:rsidR="00425208" w:rsidRPr="00CA3CF8" w:rsidTr="00425208">
        <w:trPr>
          <w:jc w:val="center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208" w:rsidRPr="00CA3CF8" w:rsidRDefault="00425208" w:rsidP="00425208">
            <w:pPr>
              <w:widowControl w:val="0"/>
              <w:jc w:val="center"/>
              <w:rPr>
                <w:sz w:val="20"/>
                <w:szCs w:val="20"/>
              </w:rPr>
            </w:pPr>
            <w:r w:rsidRPr="00CA3CF8">
              <w:rPr>
                <w:sz w:val="20"/>
                <w:szCs w:val="20"/>
              </w:rPr>
              <w:t>Lixo Coletado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208" w:rsidRPr="00CA3CF8" w:rsidRDefault="00425208" w:rsidP="00425208">
            <w:pPr>
              <w:widowControl w:val="0"/>
              <w:jc w:val="center"/>
              <w:rPr>
                <w:sz w:val="20"/>
                <w:szCs w:val="20"/>
              </w:rPr>
            </w:pPr>
            <w:r w:rsidRPr="00CA3CF8">
              <w:rPr>
                <w:sz w:val="20"/>
                <w:szCs w:val="20"/>
              </w:rPr>
              <w:t>V035 - Domicílios particulares permanentes com lixo coletado</w:t>
            </w:r>
          </w:p>
        </w:tc>
      </w:tr>
      <w:tr w:rsidR="00425208" w:rsidRPr="00CA3CF8" w:rsidTr="00425208">
        <w:trPr>
          <w:jc w:val="center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208" w:rsidRPr="00CA3CF8" w:rsidRDefault="00425208" w:rsidP="00425208">
            <w:pPr>
              <w:widowControl w:val="0"/>
              <w:jc w:val="center"/>
              <w:rPr>
                <w:sz w:val="20"/>
                <w:szCs w:val="20"/>
              </w:rPr>
            </w:pPr>
            <w:r w:rsidRPr="00CA3CF8">
              <w:rPr>
                <w:sz w:val="20"/>
                <w:szCs w:val="20"/>
              </w:rPr>
              <w:t>Energia Elétrica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208" w:rsidRPr="00CA3CF8" w:rsidRDefault="00425208" w:rsidP="00425208">
            <w:pPr>
              <w:widowControl w:val="0"/>
              <w:jc w:val="center"/>
              <w:rPr>
                <w:sz w:val="20"/>
                <w:szCs w:val="20"/>
              </w:rPr>
            </w:pPr>
            <w:r w:rsidRPr="00CA3CF8">
              <w:rPr>
                <w:sz w:val="20"/>
                <w:szCs w:val="20"/>
              </w:rPr>
              <w:t>V043 - Domicílios particulares permanentes com energia elétrica</w:t>
            </w:r>
          </w:p>
        </w:tc>
      </w:tr>
      <w:tr w:rsidR="00425208" w:rsidRPr="00CA3CF8" w:rsidTr="00425208">
        <w:trPr>
          <w:jc w:val="center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208" w:rsidRPr="00CA3CF8" w:rsidRDefault="00425208" w:rsidP="00425208">
            <w:pPr>
              <w:widowControl w:val="0"/>
              <w:jc w:val="center"/>
              <w:rPr>
                <w:sz w:val="20"/>
                <w:szCs w:val="20"/>
              </w:rPr>
            </w:pPr>
            <w:r w:rsidRPr="00CA3CF8">
              <w:rPr>
                <w:sz w:val="20"/>
                <w:szCs w:val="20"/>
              </w:rPr>
              <w:t>Rampas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208" w:rsidRPr="00CA3CF8" w:rsidRDefault="00425208" w:rsidP="00425208">
            <w:pPr>
              <w:widowControl w:val="0"/>
              <w:jc w:val="center"/>
              <w:rPr>
                <w:sz w:val="20"/>
                <w:szCs w:val="20"/>
              </w:rPr>
            </w:pPr>
            <w:r w:rsidRPr="00CA3CF8">
              <w:rPr>
                <w:sz w:val="20"/>
                <w:szCs w:val="20"/>
              </w:rPr>
              <w:t>V038 - Domicílios particulares permanentes próprios – Existe rampa para cadeirante</w:t>
            </w:r>
          </w:p>
        </w:tc>
      </w:tr>
      <w:tr w:rsidR="00425208" w:rsidRPr="00CA3CF8" w:rsidTr="00425208">
        <w:trPr>
          <w:jc w:val="center"/>
        </w:trPr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208" w:rsidRPr="00CA3CF8" w:rsidRDefault="00425208" w:rsidP="00425208">
            <w:pPr>
              <w:widowControl w:val="0"/>
              <w:jc w:val="center"/>
              <w:rPr>
                <w:sz w:val="20"/>
                <w:szCs w:val="20"/>
              </w:rPr>
            </w:pPr>
            <w:r w:rsidRPr="00CA3CF8">
              <w:rPr>
                <w:sz w:val="20"/>
                <w:szCs w:val="20"/>
              </w:rPr>
              <w:t>Arborização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5208" w:rsidRPr="00CA3CF8" w:rsidRDefault="00425208" w:rsidP="00425208">
            <w:pPr>
              <w:widowControl w:val="0"/>
              <w:jc w:val="center"/>
              <w:rPr>
                <w:sz w:val="20"/>
                <w:szCs w:val="20"/>
              </w:rPr>
            </w:pPr>
            <w:r w:rsidRPr="00CA3CF8">
              <w:rPr>
                <w:sz w:val="20"/>
                <w:szCs w:val="20"/>
              </w:rPr>
              <w:t>V044 - Domicílios particulares permanentes próprios – Existe arborização</w:t>
            </w:r>
          </w:p>
        </w:tc>
      </w:tr>
    </w:tbl>
    <w:p w:rsidR="00425208" w:rsidRDefault="00425208" w:rsidP="00425208">
      <w:pPr>
        <w:spacing w:line="360" w:lineRule="auto"/>
      </w:pPr>
      <w:r w:rsidRPr="00425208">
        <w:t>Fonte: autores (2023).</w:t>
      </w:r>
    </w:p>
    <w:p w:rsidR="00425208" w:rsidRDefault="00425208" w:rsidP="00425208">
      <w:pPr>
        <w:spacing w:line="360" w:lineRule="auto"/>
        <w:jc w:val="both"/>
      </w:pPr>
      <w:r>
        <w:tab/>
        <w:t>A qualidade ambiental é entendida como provimentos de condições adequadas para o conforto e saúde da população em cada setor censitário, a partir de indicadores considerados relevantes para assegurar a qualidade de vida e a saúde da população, gerando-se um índice de qualidade ambiental que varia de 0 a 1, sendo</w:t>
      </w:r>
      <w:r w:rsidR="006A6F05">
        <w:t xml:space="preserve"> que</w:t>
      </w:r>
      <w:r>
        <w:t xml:space="preserve"> o valor 0 ou próximo de 0 representa a ausência e precariedade dos serviços de habitação e infraestrutura, e 1 ou próximo de 1 representa a universalização e melhores condições desses serviços (MORATO, 2008).</w:t>
      </w:r>
    </w:p>
    <w:p w:rsidR="00425208" w:rsidRDefault="00425208" w:rsidP="006A6F05">
      <w:pPr>
        <w:spacing w:line="360" w:lineRule="auto"/>
        <w:ind w:firstLine="720"/>
        <w:jc w:val="both"/>
      </w:pPr>
      <w:r>
        <w:t>O cálculo de Qualidade Ambiental seguiu os mesmos critérios adotados pelo Programa das Nações Unidas para o Desenvolvimento (PNUD) para o cálculo do Índice de Desenvolvimento Humano (IDH) (MORATO; MACHADO; MARTINES, 2018).</w:t>
      </w:r>
      <w:r w:rsidR="006A6F05">
        <w:t xml:space="preserve"> </w:t>
      </w:r>
      <w:r>
        <w:t xml:space="preserve">Dessa forma, o valor de cada índice é igual ao quociente entre: a diferença entre o valor observado e </w:t>
      </w:r>
      <w:r>
        <w:lastRenderedPageBreak/>
        <w:t>o mínimo possível; e a diferença entre os limites máximos e mínimos possíveis. O Índice de Qualidade Ambiental é a média dos índices básicos (MORATO, 2008).</w:t>
      </w:r>
    </w:p>
    <w:p w:rsidR="00425208" w:rsidRDefault="00425208" w:rsidP="00425208">
      <w:pPr>
        <w:spacing w:line="360" w:lineRule="auto"/>
        <w:ind w:firstLine="720"/>
        <w:jc w:val="both"/>
        <w:rPr>
          <w:lang w:eastAsia="pt-BR"/>
        </w:rPr>
      </w:pPr>
      <w:r>
        <w:t xml:space="preserve">Foram analisados os rendimentos nominais mensais dos domicílios particulares permanentes, bem como sua distribuição étnica. As análises e sistematização das informações foram realizadas pelo software </w:t>
      </w:r>
      <w:r>
        <w:rPr>
          <w:i/>
        </w:rPr>
        <w:t>Microsoft Excel</w:t>
      </w:r>
      <w:r>
        <w:t xml:space="preserve"> 2010 e a elaboração dos mapas no software </w:t>
      </w:r>
      <w:r>
        <w:rPr>
          <w:i/>
        </w:rPr>
        <w:t>QGIS</w:t>
      </w:r>
      <w:r>
        <w:t xml:space="preserve"> 3.10.</w:t>
      </w:r>
      <w:r w:rsidR="006A6F05">
        <w:t xml:space="preserve"> </w:t>
      </w:r>
      <w:r>
        <w:t>Após a elaboração dos índices de qualidade ambiental nos setores censitários, foi realizada uma estratificação, resultando nas classes, baseadas na média e desvio padrão, conforme (MEDEIROS E SOUZA, 2016):</w:t>
      </w:r>
    </w:p>
    <w:p w:rsidR="00425208" w:rsidRDefault="006A6F05" w:rsidP="006A6F05">
      <w:pPr>
        <w:spacing w:line="360" w:lineRule="auto"/>
        <w:jc w:val="both"/>
        <w:rPr>
          <w:lang w:eastAsia="pt-BR"/>
        </w:rPr>
      </w:pPr>
      <w:r>
        <w:t xml:space="preserve">- </w:t>
      </w:r>
      <w:r w:rsidR="00425208">
        <w:t xml:space="preserve">Alta Qualidade Ambiental: </w:t>
      </w:r>
      <w:r>
        <w:t>c</w:t>
      </w:r>
      <w:r w:rsidR="00425208">
        <w:t>orresponde a valores superiores ao índice médio somado ao valor do desvio-padrão;</w:t>
      </w:r>
    </w:p>
    <w:p w:rsidR="00425208" w:rsidRDefault="006A6F05" w:rsidP="006A6F05">
      <w:pPr>
        <w:spacing w:line="360" w:lineRule="auto"/>
        <w:jc w:val="both"/>
      </w:pPr>
      <w:r>
        <w:t xml:space="preserve">- </w:t>
      </w:r>
      <w:r w:rsidR="00425208">
        <w:t xml:space="preserve">Média-Alta Qualidade Ambiental: </w:t>
      </w:r>
      <w:r>
        <w:t>p</w:t>
      </w:r>
      <w:r w:rsidR="00425208">
        <w:t>ara valores maiores que o valor médio e menores que a média mais o valor do desvio-padrão;</w:t>
      </w:r>
    </w:p>
    <w:p w:rsidR="0010406D" w:rsidRDefault="006A6F05" w:rsidP="006A6F05">
      <w:pPr>
        <w:spacing w:line="360" w:lineRule="auto"/>
        <w:jc w:val="both"/>
        <w:rPr>
          <w:lang w:eastAsia="pt-BR"/>
        </w:rPr>
      </w:pPr>
      <w:r>
        <w:t xml:space="preserve">- </w:t>
      </w:r>
      <w:r w:rsidR="0010406D">
        <w:t xml:space="preserve">Média-Baixa Qualidade Ambiental: </w:t>
      </w:r>
      <w:r>
        <w:t>p</w:t>
      </w:r>
      <w:r w:rsidR="0010406D">
        <w:t>ara valores inferiores à média e superiores à média menos um desvio-padrão;</w:t>
      </w:r>
    </w:p>
    <w:p w:rsidR="0010406D" w:rsidRDefault="006A6F05" w:rsidP="006A6F05">
      <w:pPr>
        <w:spacing w:line="360" w:lineRule="auto"/>
        <w:jc w:val="both"/>
        <w:rPr>
          <w:lang w:eastAsia="pt-BR"/>
        </w:rPr>
      </w:pPr>
      <w:r>
        <w:t xml:space="preserve">- </w:t>
      </w:r>
      <w:r w:rsidR="0010406D">
        <w:t xml:space="preserve">Baixa Qualidade Ambiental: </w:t>
      </w:r>
      <w:r>
        <w:t>c</w:t>
      </w:r>
      <w:r w:rsidR="0010406D">
        <w:t>orresponde a valores inferiores à média menos o valor de um desvio-padrão.</w:t>
      </w:r>
    </w:p>
    <w:p w:rsidR="0010406D" w:rsidRDefault="0010406D" w:rsidP="0010406D">
      <w:pPr>
        <w:spacing w:line="360" w:lineRule="auto"/>
        <w:ind w:firstLine="720"/>
        <w:jc w:val="both"/>
        <w:rPr>
          <w:lang w:eastAsia="pt-BR"/>
        </w:rPr>
      </w:pPr>
      <w:r>
        <w:t>Foram calculados os coeficientes da correlação de Pearson entre os rendimentos domiciliares mensais e a distribuição étnica. O coeficiente de correlação de Pearson é uma medida da força e da direção de uma relação linear entre duas variáveis, o</w:t>
      </w:r>
      <w:r>
        <w:rPr>
          <w:i/>
        </w:rPr>
        <w:t xml:space="preserve"> r</w:t>
      </w:r>
      <w:r>
        <w:t xml:space="preserve"> representa o coeficiente de correlação amostral, visto que a variação do coeficiente de correlação é de –1 a 1, inclusive quando </w:t>
      </w:r>
      <w:r>
        <w:rPr>
          <w:i/>
        </w:rPr>
        <w:t>x</w:t>
      </w:r>
      <w:r>
        <w:t xml:space="preserve"> e</w:t>
      </w:r>
      <w:r>
        <w:rPr>
          <w:i/>
        </w:rPr>
        <w:t xml:space="preserve"> y</w:t>
      </w:r>
      <w:r>
        <w:t xml:space="preserve"> têm uma correlação linear positiva forte, </w:t>
      </w:r>
      <w:r>
        <w:rPr>
          <w:i/>
        </w:rPr>
        <w:t>r</w:t>
      </w:r>
      <w:r>
        <w:t xml:space="preserve"> está próximo de 1 e quando</w:t>
      </w:r>
      <w:r>
        <w:rPr>
          <w:i/>
        </w:rPr>
        <w:t xml:space="preserve"> x</w:t>
      </w:r>
      <w:r>
        <w:t xml:space="preserve"> e</w:t>
      </w:r>
      <w:r>
        <w:rPr>
          <w:i/>
        </w:rPr>
        <w:t xml:space="preserve"> y</w:t>
      </w:r>
      <w:r>
        <w:t xml:space="preserve"> têm uma correlação linear negativa forte, </w:t>
      </w:r>
      <w:r>
        <w:rPr>
          <w:i/>
        </w:rPr>
        <w:t>r</w:t>
      </w:r>
      <w:r>
        <w:t xml:space="preserve"> está próximo de –1 (LARSON E FARBER, 2015).</w:t>
      </w:r>
    </w:p>
    <w:p w:rsidR="00425208" w:rsidRDefault="00425208" w:rsidP="00425208">
      <w:pPr>
        <w:spacing w:line="360" w:lineRule="auto"/>
        <w:jc w:val="both"/>
      </w:pPr>
    </w:p>
    <w:p w:rsidR="00971142" w:rsidRDefault="00BC4261" w:rsidP="00BC426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>RESULTADOS E DISCUSSÃO</w:t>
      </w:r>
    </w:p>
    <w:p w:rsidR="00B224EA" w:rsidRDefault="0010406D" w:rsidP="00B224EA">
      <w:pPr>
        <w:spacing w:line="360" w:lineRule="auto"/>
        <w:ind w:firstLine="720"/>
        <w:jc w:val="both"/>
      </w:pPr>
      <w:r>
        <w:t xml:space="preserve">Foram analisados 158 setores censitários do total de 161, pois </w:t>
      </w:r>
      <w:r w:rsidR="00456F65">
        <w:t>apena</w:t>
      </w:r>
      <w:r>
        <w:t xml:space="preserve">s 3 não apresentaram </w:t>
      </w:r>
      <w:r w:rsidRPr="00962D2E">
        <w:t xml:space="preserve">informações do IBGE (2010). A </w:t>
      </w:r>
      <w:r w:rsidR="00456F65" w:rsidRPr="00962D2E">
        <w:t>T</w:t>
      </w:r>
      <w:r w:rsidRPr="00962D2E">
        <w:t xml:space="preserve">abela 1 apresenta a estatística descritiva dos resultados encontrados, </w:t>
      </w:r>
      <w:r w:rsidR="00456F65" w:rsidRPr="00962D2E">
        <w:t xml:space="preserve">a partir da qual </w:t>
      </w:r>
      <w:r w:rsidRPr="00962D2E">
        <w:t>é possível observar que os serviços que apresentaram melhor cobertura foram energia elétrica (0,46</w:t>
      </w:r>
      <w:r>
        <w:t>) e coleta de lixo (0,45), no entanto ainda apresentam uma distância desses serviços quando se considera o valor 1 como universalização.</w:t>
      </w:r>
    </w:p>
    <w:p w:rsidR="008A273D" w:rsidRDefault="008A273D" w:rsidP="00B224EA">
      <w:pPr>
        <w:spacing w:line="360" w:lineRule="auto"/>
        <w:ind w:firstLine="720"/>
        <w:jc w:val="both"/>
      </w:pPr>
    </w:p>
    <w:p w:rsidR="00E84E1A" w:rsidRDefault="00E84E1A" w:rsidP="00B224EA">
      <w:pPr>
        <w:spacing w:line="360" w:lineRule="auto"/>
        <w:ind w:firstLine="720"/>
        <w:jc w:val="both"/>
      </w:pPr>
    </w:p>
    <w:p w:rsidR="00B224EA" w:rsidRDefault="00B224EA" w:rsidP="00B224EA">
      <w:pPr>
        <w:spacing w:line="360" w:lineRule="auto"/>
        <w:jc w:val="both"/>
      </w:pPr>
      <w:r w:rsidRPr="00B224EA">
        <w:rPr>
          <w:b/>
        </w:rPr>
        <w:lastRenderedPageBreak/>
        <w:t>Tabela 1</w:t>
      </w:r>
      <w:r>
        <w:t>-   Indicadores de infraestrutura urbana e qualidade ambiental.</w:t>
      </w:r>
    </w:p>
    <w:tbl>
      <w:tblPr>
        <w:tblStyle w:val="Tabelacomgrade"/>
        <w:tblW w:w="9925" w:type="dxa"/>
        <w:jc w:val="center"/>
        <w:tblInd w:w="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61"/>
        <w:gridCol w:w="1451"/>
        <w:gridCol w:w="958"/>
        <w:gridCol w:w="1048"/>
        <w:gridCol w:w="918"/>
        <w:gridCol w:w="1284"/>
        <w:gridCol w:w="1117"/>
      </w:tblGrid>
      <w:tr w:rsidR="00B224EA" w:rsidTr="00B224EA">
        <w:trPr>
          <w:trHeight w:val="441"/>
          <w:jc w:val="center"/>
        </w:trPr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4EA" w:rsidRDefault="00B224EA">
            <w:pPr>
              <w:jc w:val="center"/>
              <w:rPr>
                <w:b/>
                <w:sz w:val="20"/>
                <w:szCs w:val="20"/>
              </w:rPr>
            </w:pPr>
            <w:bookmarkStart w:id="1" w:name="_Hlk68633844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24EA" w:rsidRDefault="00B224E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Abastecimento de Água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24EA" w:rsidRDefault="00B224EA">
            <w:pPr>
              <w:ind w:hanging="1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Esgotamento Sanitário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24EA" w:rsidRDefault="00B224EA">
            <w:pPr>
              <w:ind w:hanging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Coleta de Lixo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24EA" w:rsidRDefault="00B224E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Energia Elétrica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24EA" w:rsidRDefault="00B224EA">
            <w:pPr>
              <w:ind w:hanging="1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Rampas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24EA" w:rsidRDefault="00B224EA">
            <w:pPr>
              <w:ind w:hanging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Arborização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24EA" w:rsidRDefault="00B224EA">
            <w:pPr>
              <w:ind w:hanging="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Qualidade Ambiental</w:t>
            </w:r>
          </w:p>
        </w:tc>
      </w:tr>
      <w:tr w:rsidR="00B224EA" w:rsidTr="00B224EA">
        <w:trPr>
          <w:trHeight w:val="214"/>
          <w:jc w:val="center"/>
        </w:trPr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Mínimo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24EA" w:rsidTr="00B224EA">
        <w:trPr>
          <w:trHeight w:val="214"/>
          <w:jc w:val="center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Máximo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24EA" w:rsidTr="00B224EA">
        <w:trPr>
          <w:trHeight w:val="227"/>
          <w:jc w:val="center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Média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4EA" w:rsidRDefault="00B224EA">
            <w:pPr>
              <w:ind w:hanging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</w:tr>
      <w:tr w:rsidR="00B224EA" w:rsidTr="00B224EA">
        <w:trPr>
          <w:trHeight w:val="214"/>
          <w:jc w:val="center"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4EA" w:rsidRDefault="00B224EA">
            <w:pPr>
              <w:ind w:hanging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Desvio padrão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4EA" w:rsidRDefault="00B224E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4EA" w:rsidRDefault="00B224EA">
            <w:pPr>
              <w:ind w:hanging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4EA" w:rsidRDefault="00B224EA">
            <w:pPr>
              <w:ind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4EA" w:rsidRDefault="00B224E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4EA" w:rsidRDefault="00B224EA">
            <w:pPr>
              <w:ind w:hanging="1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4EA" w:rsidRDefault="00B224EA">
            <w:pPr>
              <w:ind w:hanging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4EA" w:rsidRDefault="00B224EA">
            <w:pPr>
              <w:ind w:hanging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bookmarkEnd w:id="1"/>
      </w:tr>
    </w:tbl>
    <w:p w:rsidR="00B224EA" w:rsidRDefault="00B224EA" w:rsidP="00C03043">
      <w:pPr>
        <w:spacing w:after="240"/>
      </w:pPr>
      <w:r w:rsidRPr="00B224EA">
        <w:t>Fonte: Adaptado de IBGE (2010).</w:t>
      </w:r>
    </w:p>
    <w:p w:rsidR="007D38B5" w:rsidRDefault="00B224EA" w:rsidP="00456F65">
      <w:pPr>
        <w:spacing w:line="360" w:lineRule="auto"/>
        <w:jc w:val="both"/>
      </w:pPr>
      <w:r>
        <w:tab/>
        <w:t xml:space="preserve">Serviços essenciais, ainda que presentes em maioria, não suprem a necessidade da população, ou seja, mais da metade da população do distrito de Belém não possui acesso à coleta de lixo e fornecimento de energia elétrica em suas residências. </w:t>
      </w:r>
      <w:r w:rsidR="007D38B5">
        <w:t>Quando não ocorre a coleta de lixo em um determinado local, recebem a seguinte classificação, de acordo com a informações do IBGE, (2010): queimado, enterrado, jogado em terreno baldio ou logradouro, no rio, lago ou mar próximo, além de outros locais inapropriados. O depósito de lixo no meio ambiente acarreta impactos ambientais catastróficos, desde a poluição do ar por queimadas na volatilização de substâncias tóxicas que causam diversos tipos de doenças respiratórias, contaminação do solo, e do lençol freático, poluição de aquíferos, até morte de organismos aquáticos, entre outros malefícios a qual a população pode estar exposta (</w:t>
      </w:r>
      <w:r w:rsidR="007D38B5">
        <w:rPr>
          <w:highlight w:val="white"/>
        </w:rPr>
        <w:t>MUCELIN; BELLINI</w:t>
      </w:r>
      <w:r w:rsidR="007D38B5">
        <w:t>, 2008).</w:t>
      </w:r>
    </w:p>
    <w:p w:rsidR="00B224EA" w:rsidRPr="006D744A" w:rsidRDefault="007D38B5" w:rsidP="00C03043">
      <w:pPr>
        <w:spacing w:line="360" w:lineRule="auto"/>
        <w:ind w:firstLine="720"/>
        <w:jc w:val="both"/>
      </w:pPr>
      <w:r w:rsidRPr="006D744A">
        <w:t>Em relação ao baixo número de fornecimento de energia elétrica, deve-se levar em consideração duas explicações para</w:t>
      </w:r>
      <w:r w:rsidR="00456F65" w:rsidRPr="006D744A">
        <w:t>. A</w:t>
      </w:r>
      <w:r w:rsidR="00B224EA" w:rsidRPr="006D744A">
        <w:t xml:space="preserve"> primeira</w:t>
      </w:r>
      <w:r w:rsidR="00456F65" w:rsidRPr="006D744A">
        <w:t>,</w:t>
      </w:r>
      <w:r w:rsidR="00B224EA" w:rsidRPr="006D744A">
        <w:t xml:space="preserve"> é a grande porcentagem de rede elétricas clandestinas</w:t>
      </w:r>
      <w:r w:rsidR="00456F65" w:rsidRPr="006D744A">
        <w:t>,</w:t>
      </w:r>
      <w:r w:rsidR="00B224EA" w:rsidRPr="006D744A">
        <w:t xml:space="preserve"> caracterizado por desvio de energia elétrica </w:t>
      </w:r>
      <w:r w:rsidR="00476CFE" w:rsidRPr="006D744A">
        <w:t>(</w:t>
      </w:r>
      <w:r w:rsidR="00B224EA" w:rsidRPr="006D744A">
        <w:t>“gato”</w:t>
      </w:r>
      <w:r w:rsidR="00476CFE" w:rsidRPr="006D744A">
        <w:t>)</w:t>
      </w:r>
      <w:r w:rsidR="00B224EA" w:rsidRPr="006D744A">
        <w:t xml:space="preserve">, crime previsto no </w:t>
      </w:r>
      <w:r w:rsidR="00476CFE" w:rsidRPr="006D744A">
        <w:t>A</w:t>
      </w:r>
      <w:r w:rsidR="00B224EA" w:rsidRPr="006D744A">
        <w:t>rtigo 155 do Código Penal</w:t>
      </w:r>
      <w:r w:rsidR="00456F65" w:rsidRPr="006D744A">
        <w:t xml:space="preserve"> </w:t>
      </w:r>
      <w:r w:rsidR="00B224EA" w:rsidRPr="006D744A">
        <w:t xml:space="preserve">(TAVARES </w:t>
      </w:r>
      <w:r w:rsidR="00B224EA" w:rsidRPr="006D744A">
        <w:rPr>
          <w:i/>
        </w:rPr>
        <w:t xml:space="preserve">et </w:t>
      </w:r>
      <w:proofErr w:type="gramStart"/>
      <w:r w:rsidR="00B224EA" w:rsidRPr="006D744A">
        <w:rPr>
          <w:i/>
        </w:rPr>
        <w:t>al</w:t>
      </w:r>
      <w:r w:rsidR="00B224EA" w:rsidRPr="006D744A">
        <w:t>,.</w:t>
      </w:r>
      <w:proofErr w:type="gramEnd"/>
      <w:r w:rsidR="00B224EA" w:rsidRPr="006D744A">
        <w:t xml:space="preserve"> 2006).</w:t>
      </w:r>
      <w:r w:rsidR="00456F65" w:rsidRPr="006D744A">
        <w:t xml:space="preserve"> </w:t>
      </w:r>
      <w:r w:rsidR="00A97975" w:rsidRPr="006D744A">
        <w:t xml:space="preserve">Uma segunda explicação, </w:t>
      </w:r>
      <w:r w:rsidR="00A3589A" w:rsidRPr="006D744A">
        <w:t>seria</w:t>
      </w:r>
      <w:r w:rsidR="00B224EA" w:rsidRPr="006D744A">
        <w:t xml:space="preserve"> </w:t>
      </w:r>
      <w:r w:rsidR="00A3589A" w:rsidRPr="006D744A">
        <w:t xml:space="preserve">a </w:t>
      </w:r>
      <w:r w:rsidR="00B224EA" w:rsidRPr="006D744A">
        <w:t xml:space="preserve">própria definição de domicílio utilizada pelo IBGE (2010), onde foi considerado domicílio particular permanente, que tem por finalidade o servir habitacional para uma ou mais pessoas. </w:t>
      </w:r>
    </w:p>
    <w:p w:rsidR="007D38B5" w:rsidRDefault="00B224EA" w:rsidP="007D38B5">
      <w:pPr>
        <w:spacing w:line="360" w:lineRule="auto"/>
        <w:ind w:firstLine="720"/>
        <w:jc w:val="both"/>
      </w:pPr>
      <w:r>
        <w:t xml:space="preserve">Os piores serviços foram </w:t>
      </w:r>
      <w:r w:rsidR="00476CFE">
        <w:t>r</w:t>
      </w:r>
      <w:r>
        <w:t xml:space="preserve">ampas (0,12) e arborização (0,36), o que influencia na falta de acessibilidade a pessoas com dificuldade de locomoção. </w:t>
      </w:r>
      <w:r w:rsidR="007D38B5">
        <w:t>Rampas de acesso são um requisito básico para mobilidade urbana, além de ser direito de ir e vir com segurança e dignidade para os seus usuários. A baixa cobertura de rampas é considerada um risco para o tráfego de pedestres que possuem limitações de locomoção, sejam elas permanentes ou temporárias, além de outras necessidades como uso de carrinhos de bebê, tornando-se um elemento chave para avaliação da circulação em vias públicas (MORATO, 2007).</w:t>
      </w:r>
    </w:p>
    <w:p w:rsidR="00117D0C" w:rsidRDefault="00B224EA" w:rsidP="00476CFE">
      <w:pPr>
        <w:spacing w:line="360" w:lineRule="auto"/>
        <w:ind w:firstLine="720"/>
        <w:jc w:val="both"/>
      </w:pPr>
      <w:r>
        <w:t xml:space="preserve">O baixo valor da média de arborização implica diretamente na qualidade do clima urbano </w:t>
      </w:r>
      <w:r w:rsidR="00117D0C">
        <w:t xml:space="preserve">e na formação de ilhas de calor, o que corrobora com o que foi encontrado na pesquisa de Miranda &amp; Macedo (2015), a qual avaliou temperaturas médias em bairros no centro de </w:t>
      </w:r>
      <w:r w:rsidR="00117D0C">
        <w:lastRenderedPageBreak/>
        <w:t xml:space="preserve">Belém, onde apresentou temperaturas altas em locais com pouca arborização e maior concentração de prédios e empreendimentos imobiliários. </w:t>
      </w:r>
    </w:p>
    <w:p w:rsidR="00B224EA" w:rsidRDefault="00B224EA" w:rsidP="00B224EA">
      <w:pPr>
        <w:spacing w:line="360" w:lineRule="auto"/>
        <w:ind w:firstLine="720"/>
        <w:jc w:val="both"/>
      </w:pPr>
      <w:r>
        <w:t xml:space="preserve">A presença de árvores nas grandes metrópoles, auxilia no controle do fenômeno das ilhas de calor, regulando o microclima e melhorando a qualidade do ar, as áreas verdes, são responsáveis por minimizar a impermeabilização, produzida pela elevação da temperatura, principalmente nas áreas com pavimentação e edificações (OLIVEIRA </w:t>
      </w:r>
      <w:r>
        <w:rPr>
          <w:i/>
        </w:rPr>
        <w:t>et al</w:t>
      </w:r>
      <w:r>
        <w:t>., 2013).</w:t>
      </w:r>
    </w:p>
    <w:p w:rsidR="00B224EA" w:rsidRDefault="00B224EA" w:rsidP="00A318E1">
      <w:pPr>
        <w:spacing w:line="360" w:lineRule="auto"/>
        <w:ind w:firstLine="720"/>
        <w:jc w:val="both"/>
      </w:pPr>
      <w:r>
        <w:t>Os índices de Qualidade Ambiental resultante (Figura 2) apresentou uma média de 0,37 (Tabela 1)</w:t>
      </w:r>
      <w:r w:rsidR="00476CFE">
        <w:t>,</w:t>
      </w:r>
      <w:r>
        <w:t xml:space="preserve"> devido à baixa cobertura de indicadores de infraestrutura urbana nos setores censitários analisados. As cores mais escuras representam os setores censitários com valores baixos de qualidade ambiental e as mais claras os setores que têm uma maior cobertura dos serviços públicos, consequentemente uma maior qualidade ambiental.</w:t>
      </w:r>
    </w:p>
    <w:p w:rsidR="00B224EA" w:rsidRDefault="00B224EA" w:rsidP="00B224EA">
      <w:pPr>
        <w:rPr>
          <w:lang w:eastAsia="pt-BR"/>
        </w:rPr>
      </w:pPr>
      <w:r>
        <w:t>Figura 2- Mapa de Qualidade Ambiental do distrito administrativo de Belém.</w:t>
      </w:r>
    </w:p>
    <w:p w:rsidR="00B224EA" w:rsidRDefault="00B224EA" w:rsidP="00CA3CF8">
      <w:pPr>
        <w:spacing w:line="360" w:lineRule="auto"/>
        <w:jc w:val="center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760085" cy="4072890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a analise oficial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4EA" w:rsidRDefault="00B224EA" w:rsidP="00A318E1">
      <w:pPr>
        <w:spacing w:after="240"/>
      </w:pPr>
      <w:r w:rsidRPr="00B224EA">
        <w:t>Fonte: Autores, (2023).</w:t>
      </w:r>
    </w:p>
    <w:p w:rsidR="00A318E1" w:rsidRPr="00962D2E" w:rsidRDefault="00A318E1" w:rsidP="00A318E1">
      <w:pPr>
        <w:spacing w:line="360" w:lineRule="auto"/>
        <w:jc w:val="both"/>
      </w:pPr>
      <w:r>
        <w:tab/>
      </w:r>
      <w:r w:rsidRPr="00962D2E">
        <w:t xml:space="preserve">Em relação </w:t>
      </w:r>
      <w:r w:rsidR="00476CFE" w:rsidRPr="00962D2E">
        <w:t>à</w:t>
      </w:r>
      <w:r w:rsidRPr="00962D2E">
        <w:t xml:space="preserve"> qualidade ambiental, resultados semelhantes foram encontrados por Morato, Machado e Martinez (2018), em análises na bacia do córrego do Morro do “</w:t>
      </w:r>
      <w:r w:rsidR="00476CFE" w:rsidRPr="00962D2E">
        <w:t>S</w:t>
      </w:r>
      <w:r w:rsidRPr="00962D2E">
        <w:t xml:space="preserve">”, São Paulo/SP, cujos resultados demonstraram que a exposição das populações socialmente </w:t>
      </w:r>
      <w:r w:rsidRPr="00962D2E">
        <w:lastRenderedPageBreak/>
        <w:t>vulneráveis à falta de infraestrutura e saneamento básico, reduzem significativamente a qualidade ambiental e</w:t>
      </w:r>
      <w:r w:rsidR="00476CFE" w:rsidRPr="00962D2E">
        <w:t>,</w:t>
      </w:r>
      <w:r w:rsidRPr="00962D2E">
        <w:t xml:space="preserve"> por consequência</w:t>
      </w:r>
      <w:r w:rsidR="00476CFE" w:rsidRPr="00962D2E">
        <w:t>,</w:t>
      </w:r>
      <w:r w:rsidRPr="00962D2E">
        <w:t xml:space="preserve"> </w:t>
      </w:r>
      <w:r w:rsidR="00476CFE" w:rsidRPr="00962D2E">
        <w:t>a</w:t>
      </w:r>
      <w:r w:rsidRPr="00962D2E">
        <w:t xml:space="preserve"> qualidade de vida.</w:t>
      </w:r>
    </w:p>
    <w:p w:rsidR="00A318E1" w:rsidRDefault="00A318E1" w:rsidP="00A318E1">
      <w:pPr>
        <w:spacing w:line="360" w:lineRule="auto"/>
        <w:jc w:val="both"/>
      </w:pPr>
      <w:r w:rsidRPr="00962D2E">
        <w:tab/>
        <w:t xml:space="preserve">Em relação </w:t>
      </w:r>
      <w:r w:rsidR="00476CFE" w:rsidRPr="00962D2E">
        <w:t xml:space="preserve">à auto identificação </w:t>
      </w:r>
      <w:r w:rsidR="00D43290" w:rsidRPr="00962D2E">
        <w:t>étnico-</w:t>
      </w:r>
      <w:r w:rsidR="00476CFE" w:rsidRPr="00962D2E">
        <w:t>racial</w:t>
      </w:r>
      <w:r w:rsidRPr="00962D2E">
        <w:t xml:space="preserve"> d</w:t>
      </w:r>
      <w:r w:rsidR="00476CFE" w:rsidRPr="00962D2E">
        <w:t>as</w:t>
      </w:r>
      <w:r w:rsidRPr="00962D2E">
        <w:t xml:space="preserve"> pessoas nos setores censitários, observou-se uma maior predominância de pessoas brancas e pardas, sendo seguidas de pessoas pretas, amarelas e indígenas, representando</w:t>
      </w:r>
      <w:r w:rsidR="00476CFE" w:rsidRPr="00962D2E">
        <w:t>,</w:t>
      </w:r>
      <w:r w:rsidRPr="00962D2E">
        <w:t xml:space="preserve"> respectivam</w:t>
      </w:r>
      <w:r>
        <w:t>ente</w:t>
      </w:r>
      <w:r w:rsidR="00476CFE">
        <w:t>,</w:t>
      </w:r>
      <w:r>
        <w:t xml:space="preserve"> 48,45%, 45,88%, 4,22%, 1,33% e 0,12%.</w:t>
      </w:r>
    </w:p>
    <w:p w:rsidR="00A318E1" w:rsidRDefault="00A318E1" w:rsidP="00A318E1">
      <w:pPr>
        <w:spacing w:line="360" w:lineRule="auto"/>
        <w:ind w:firstLine="720"/>
        <w:jc w:val="both"/>
      </w:pPr>
      <w:r>
        <w:t>A Tabela 2 relaciona a qualidade ambiental com o número de setores, pessoas, renda média e etnia</w:t>
      </w:r>
      <w:r w:rsidR="00321EB5">
        <w:t>-racial</w:t>
      </w:r>
      <w:r>
        <w:t xml:space="preserve">. É observado que o intervalo de 0 a 0,22 são as que apresentam baixa qualidade ambiental, possuindo uma menor população e renda, sendo composta pela sua maioria (50,54%) de brancos e pardos (43,79%). Os bairros que mais concentram os menores índices de qualidade ambiental foram o bairro do Marco e Campina. Apenas o bairro do Guamá não teve setores censitários no mesmo intervalo. </w:t>
      </w:r>
    </w:p>
    <w:p w:rsidR="00A318E1" w:rsidRDefault="00A318E1" w:rsidP="00A318E1">
      <w:pPr>
        <w:rPr>
          <w:lang w:eastAsia="pt-BR"/>
        </w:rPr>
      </w:pPr>
      <w:r w:rsidRPr="00CA3CF8">
        <w:rPr>
          <w:b/>
        </w:rPr>
        <w:t>Tabela 2</w:t>
      </w:r>
      <w:r>
        <w:t>- Estratificação da população em relação ao índice de Qualidade Ambiental, Rendimento Médio Mensal e Etnia</w:t>
      </w:r>
      <w:r w:rsidR="00321EB5">
        <w:t>-racial</w:t>
      </w:r>
      <w:r>
        <w:t>.</w:t>
      </w:r>
    </w:p>
    <w:tbl>
      <w:tblPr>
        <w:tblStyle w:val="Tabelacomgrade"/>
        <w:tblW w:w="8930" w:type="dxa"/>
        <w:jc w:val="center"/>
        <w:tblInd w:w="0" w:type="dxa"/>
        <w:tblLook w:val="04A0" w:firstRow="1" w:lastRow="0" w:firstColumn="1" w:lastColumn="0" w:noHBand="0" w:noVBand="1"/>
      </w:tblPr>
      <w:tblGrid>
        <w:gridCol w:w="1257"/>
        <w:gridCol w:w="1125"/>
        <w:gridCol w:w="1005"/>
        <w:gridCol w:w="867"/>
        <w:gridCol w:w="898"/>
        <w:gridCol w:w="666"/>
        <w:gridCol w:w="1088"/>
        <w:gridCol w:w="829"/>
        <w:gridCol w:w="1195"/>
      </w:tblGrid>
      <w:tr w:rsidR="00A318E1" w:rsidTr="00A318E1">
        <w:trPr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firstLine="30"/>
              <w:jc w:val="center"/>
              <w:rPr>
                <w:b/>
                <w:sz w:val="20"/>
                <w:szCs w:val="20"/>
              </w:rPr>
            </w:pPr>
            <w:bookmarkStart w:id="2" w:name="_Hlk68636764"/>
            <w:r>
              <w:rPr>
                <w:b/>
                <w:sz w:val="20"/>
                <w:szCs w:val="20"/>
              </w:rPr>
              <w:t>Qualidade Ambiental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Setores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hanging="1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População (pessoas)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hanging="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Renda Média (R$)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hanging="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Brancos (%)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hanging="1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Pretos (%)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firstLine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Amarelos (%)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hanging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Pardos (%)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hanging="1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Indígenas (%)</w:t>
            </w:r>
          </w:p>
        </w:tc>
      </w:tr>
      <w:tr w:rsidR="00A318E1" w:rsidTr="00A318E1">
        <w:trPr>
          <w:jc w:val="center"/>
        </w:trPr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firstLine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0,52-1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5045,87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firstLine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</w:tr>
      <w:tr w:rsidR="00A318E1" w:rsidTr="00A318E1">
        <w:trPr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firstLine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0,37-0,52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4643,93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firstLine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A318E1" w:rsidTr="00A318E1">
        <w:trPr>
          <w:jc w:val="center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firstLine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0,22-0,37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4582,72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firstLine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18E1" w:rsidRDefault="00A318E1">
            <w:pPr>
              <w:ind w:hanging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A318E1" w:rsidTr="00A318E1">
        <w:trPr>
          <w:jc w:val="center"/>
        </w:trPr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firstLine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0-0,22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hanging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hanging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hanging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hanging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firstLine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18E1" w:rsidRDefault="00A318E1">
            <w:pPr>
              <w:ind w:hanging="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bookmarkEnd w:id="2"/>
      </w:tr>
    </w:tbl>
    <w:p w:rsidR="00A318E1" w:rsidRDefault="007D38B5" w:rsidP="00A318E1">
      <w:pPr>
        <w:spacing w:before="240" w:after="240"/>
      </w:pPr>
      <w:r>
        <w:t>Fonte: Autores (2023</w:t>
      </w:r>
      <w:r w:rsidR="00A318E1" w:rsidRPr="00A318E1">
        <w:t>).</w:t>
      </w:r>
    </w:p>
    <w:p w:rsidR="00A318E1" w:rsidRDefault="00A318E1" w:rsidP="00A318E1">
      <w:pPr>
        <w:spacing w:line="360" w:lineRule="auto"/>
        <w:jc w:val="both"/>
      </w:pPr>
      <w:r>
        <w:tab/>
        <w:t>O intervalo de 0,22 a 0,37 (Tabela 2) representa média-baixa qualidade ambiental, apresentando 48 setores censitários e renda média mensal de R$ 4.582,93, na qual em sua maioria é composta por brancos (47,08%) e pardos (46,87%). Os bairros que mais concentraram no mesmo intervalo foram: Umarizal, Marco, São Brás, Cidade Velha e Batista Campos. O bairro Canudos não teve nenhum setor censitário nesse intervalo.</w:t>
      </w:r>
    </w:p>
    <w:p w:rsidR="00A318E1" w:rsidRDefault="00A318E1" w:rsidP="00A318E1">
      <w:pPr>
        <w:spacing w:line="360" w:lineRule="auto"/>
        <w:jc w:val="both"/>
      </w:pPr>
      <w:r>
        <w:tab/>
        <w:t>O intervalo de 0,37 a 0,52 (Tabela 2) representa média-alta qualidade ambiental, apresentando a maioria dos setores censitários (58) e população (62.108), sendo em sua maioria composta por brancos (48,67%) e pardos (45,66%), compondo a maioria dos setores censitários dos bairros: Marco, Nazaré e Umarizal. Os bairros Guamá e Canudos não apresentaram setores nesse intervalo.</w:t>
      </w:r>
    </w:p>
    <w:p w:rsidR="00A318E1" w:rsidRDefault="00A318E1" w:rsidP="00A318E1">
      <w:pPr>
        <w:spacing w:line="360" w:lineRule="auto"/>
        <w:jc w:val="both"/>
      </w:pPr>
      <w:r>
        <w:tab/>
        <w:t>A partir da análise da correlação de Pearson entre etnia</w:t>
      </w:r>
      <w:r w:rsidR="00321EB5">
        <w:t>-racial</w:t>
      </w:r>
      <w:r>
        <w:t xml:space="preserve"> e rendimento mensal foi possível analisar a medida de relação entre as variáveis a partir de um modelo linear.  A relação entre pessoas brancas e o rendimento mensal nos setores censitários analisados, possui uma </w:t>
      </w:r>
      <w:r>
        <w:lastRenderedPageBreak/>
        <w:t>correlação positiva de 0,38, considerando-o valor médio (COHEN,1988). Nesse sentido, as pessoas brancas tendem a ter uma maior renda nos setores analisados (Figura 3).</w:t>
      </w:r>
    </w:p>
    <w:p w:rsidR="00A318E1" w:rsidRDefault="00A318E1" w:rsidP="00A318E1">
      <w:r w:rsidRPr="00CA3CF8">
        <w:rPr>
          <w:b/>
        </w:rPr>
        <w:t>Figura 3</w:t>
      </w:r>
      <w:r>
        <w:t>- Relação entre pessoas brancas e rendimento mensal</w:t>
      </w:r>
      <w:bookmarkStart w:id="3" w:name="_heading=h.ipqncvdbs0vr"/>
      <w:bookmarkEnd w:id="3"/>
      <w:r>
        <w:t>.</w:t>
      </w:r>
    </w:p>
    <w:p w:rsidR="00B12590" w:rsidRDefault="00B12590" w:rsidP="00B12590">
      <w:pPr>
        <w:jc w:val="center"/>
      </w:pPr>
      <w:r>
        <w:rPr>
          <w:noProof/>
          <w:lang w:eastAsia="pt-BR"/>
        </w:rPr>
        <w:drawing>
          <wp:inline distT="0" distB="0" distL="0" distR="0" wp14:anchorId="44A6927A" wp14:editId="6431A4DB">
            <wp:extent cx="4572000" cy="283845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12590" w:rsidRDefault="00B12590" w:rsidP="00B12590">
      <w:pPr>
        <w:spacing w:line="360" w:lineRule="auto"/>
      </w:pPr>
      <w:r w:rsidRPr="00B12590">
        <w:t>Fonte:</w:t>
      </w:r>
      <w:r w:rsidR="007D38B5" w:rsidRPr="007D38B5">
        <w:t xml:space="preserve"> </w:t>
      </w:r>
      <w:r w:rsidR="007D38B5">
        <w:t>Autores (2023</w:t>
      </w:r>
      <w:r w:rsidR="007D38B5" w:rsidRPr="00A318E1">
        <w:t>).</w:t>
      </w:r>
    </w:p>
    <w:p w:rsidR="00B12590" w:rsidRDefault="00B12590" w:rsidP="00CA3CF8">
      <w:pPr>
        <w:spacing w:line="360" w:lineRule="auto"/>
        <w:jc w:val="both"/>
      </w:pPr>
      <w:r>
        <w:tab/>
        <w:t>A relação entre pessoas pretas e o rendimento mensal (Figura 4) mostrou uma correlação negativa de -0,29, tratando-se, portanto, um escore baixo de relação linear (COHEN, 1988). No entanto, apresenta uma a</w:t>
      </w:r>
      <w:r w:rsidR="008A273D">
        <w:t>ssociação de menor tendência de</w:t>
      </w:r>
      <w:r>
        <w:t xml:space="preserve"> pessoas pretas residentes terem uma renda inferior</w:t>
      </w:r>
      <w:r w:rsidR="00476CFE">
        <w:t>,</w:t>
      </w:r>
      <w:r>
        <w:t xml:space="preserve"> em sua maioria.</w:t>
      </w:r>
    </w:p>
    <w:p w:rsidR="00B12590" w:rsidRDefault="00B12590" w:rsidP="00B12590">
      <w:pPr>
        <w:spacing w:line="360" w:lineRule="auto"/>
      </w:pPr>
      <w:r w:rsidRPr="00CA3CF8">
        <w:rPr>
          <w:b/>
        </w:rPr>
        <w:t>Figura 4</w:t>
      </w:r>
      <w:r>
        <w:t>- Relação entre pessoas pretas e rendimento mensal</w:t>
      </w:r>
      <w:r w:rsidR="00476CFE">
        <w:t>.</w:t>
      </w:r>
    </w:p>
    <w:p w:rsidR="00B12590" w:rsidRPr="00B12590" w:rsidRDefault="00B12590" w:rsidP="00B12590">
      <w:pPr>
        <w:spacing w:line="360" w:lineRule="auto"/>
        <w:jc w:val="center"/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5F519FA6" wp14:editId="4DA7B16C">
            <wp:extent cx="4572000" cy="27432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12590" w:rsidRPr="00B12590" w:rsidRDefault="00B12590" w:rsidP="00B12590">
      <w:pPr>
        <w:spacing w:line="360" w:lineRule="auto"/>
        <w:rPr>
          <w:lang w:eastAsia="pt-BR"/>
        </w:rPr>
      </w:pPr>
      <w:r w:rsidRPr="00B12590">
        <w:t xml:space="preserve">Fonte: </w:t>
      </w:r>
      <w:r w:rsidR="007D38B5">
        <w:t>Autores (2023</w:t>
      </w:r>
      <w:r w:rsidR="007D38B5" w:rsidRPr="00A318E1">
        <w:t>).</w:t>
      </w:r>
    </w:p>
    <w:p w:rsidR="00A318E1" w:rsidRDefault="00B12590" w:rsidP="00B12590">
      <w:pPr>
        <w:spacing w:before="240" w:after="240" w:line="360" w:lineRule="auto"/>
        <w:ind w:firstLine="720"/>
        <w:jc w:val="both"/>
      </w:pPr>
      <w:r>
        <w:lastRenderedPageBreak/>
        <w:t>A relação entre pessoas amarelas e o rendimento mensal indica uma correlação positiva de 0,05 extremamente fraca (COHEN, 1988), o que denota uma maior dispersão dos resultados e pouca ou quase nula a influência da variável independente sob a renda (Figura 5).</w:t>
      </w:r>
    </w:p>
    <w:p w:rsidR="00B12590" w:rsidRDefault="00B12590" w:rsidP="00B12590">
      <w:pPr>
        <w:spacing w:before="240" w:after="240"/>
        <w:rPr>
          <w:lang w:eastAsia="pt-BR"/>
        </w:rPr>
      </w:pPr>
      <w:r w:rsidRPr="00CA3CF8">
        <w:rPr>
          <w:b/>
        </w:rPr>
        <w:t>Figura 5</w:t>
      </w:r>
      <w:r>
        <w:t>- Relação entre pessoas amarelas e rendimento mensal.</w:t>
      </w:r>
    </w:p>
    <w:p w:rsidR="00A318E1" w:rsidRDefault="00B12590" w:rsidP="00B12590">
      <w:pPr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0ECC7F26" wp14:editId="04874A4C">
            <wp:extent cx="4572000" cy="2743200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12590" w:rsidRDefault="00B12590" w:rsidP="00B12590">
      <w:pPr>
        <w:spacing w:line="360" w:lineRule="auto"/>
      </w:pPr>
      <w:r w:rsidRPr="00B12590">
        <w:t xml:space="preserve">Fonte: </w:t>
      </w:r>
      <w:r w:rsidR="007D38B5">
        <w:t>Autores (2023</w:t>
      </w:r>
      <w:r w:rsidR="007D38B5" w:rsidRPr="00A318E1">
        <w:t>).</w:t>
      </w:r>
    </w:p>
    <w:p w:rsidR="00B12590" w:rsidRDefault="00B12590" w:rsidP="00820665">
      <w:pPr>
        <w:spacing w:line="360" w:lineRule="auto"/>
      </w:pPr>
      <w:r>
        <w:tab/>
        <w:t>A Figura 6 apresenta uma correlação negativa fraca de -0,16 entre pessoas pardas e o rendimento mensal (COHEN, 1988). Apesar de ser uma correlação fraca, expõe uma propensão de pessoas pardas a terem uma menor renda.</w:t>
      </w:r>
    </w:p>
    <w:p w:rsidR="00B12590" w:rsidRDefault="00B12590" w:rsidP="00B12590">
      <w:pPr>
        <w:rPr>
          <w:lang w:eastAsia="pt-BR"/>
        </w:rPr>
      </w:pPr>
      <w:r w:rsidRPr="00CA3CF8">
        <w:rPr>
          <w:b/>
        </w:rPr>
        <w:t>Figura 6</w:t>
      </w:r>
      <w:r>
        <w:t>- Relação entre pessoas pardas e rendimento mensal.</w:t>
      </w:r>
    </w:p>
    <w:p w:rsidR="00B12590" w:rsidRPr="00B12590" w:rsidRDefault="00B12590" w:rsidP="00B12590">
      <w:pPr>
        <w:spacing w:line="360" w:lineRule="auto"/>
        <w:jc w:val="center"/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29CB314D" wp14:editId="705FDC0C">
            <wp:extent cx="4572000" cy="2743200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12590" w:rsidRDefault="00B12590" w:rsidP="00B12590">
      <w:pPr>
        <w:spacing w:line="360" w:lineRule="auto"/>
      </w:pPr>
      <w:r w:rsidRPr="00B12590">
        <w:t xml:space="preserve">Fonte: </w:t>
      </w:r>
      <w:r w:rsidR="007D38B5">
        <w:t>Autores (2023</w:t>
      </w:r>
      <w:r w:rsidR="007D38B5" w:rsidRPr="00A318E1">
        <w:t>).</w:t>
      </w:r>
    </w:p>
    <w:p w:rsidR="00B12590" w:rsidRDefault="00B12590" w:rsidP="00476CFE">
      <w:pPr>
        <w:spacing w:line="360" w:lineRule="auto"/>
        <w:ind w:firstLine="720"/>
        <w:jc w:val="both"/>
      </w:pPr>
      <w:r>
        <w:lastRenderedPageBreak/>
        <w:t>A correlação entre pessoas indígenas e o rendimento mensal teve uma correlação positiva fraca de 0,17</w:t>
      </w:r>
      <w:r w:rsidR="00476CFE">
        <w:t>,</w:t>
      </w:r>
      <w:r>
        <w:t xml:space="preserve"> evidenciando uma tendência de pessoas indígenas terem uma maior renda (COHEN, 1988). Contudo o número baixo e ausência de pessoas indígenas nos setores censitários analisados influenciou no resultado da correlação de Pearson.  </w:t>
      </w:r>
    </w:p>
    <w:p w:rsidR="00B12590" w:rsidRDefault="00B12590" w:rsidP="00B12590">
      <w:r w:rsidRPr="00CA3CF8">
        <w:rPr>
          <w:b/>
        </w:rPr>
        <w:t>Figura 7</w:t>
      </w:r>
      <w:r>
        <w:t>- Relação entre pessoas indígenas e rendimento mensal.</w:t>
      </w:r>
    </w:p>
    <w:p w:rsidR="00B12590" w:rsidRDefault="00B12590" w:rsidP="00B12590">
      <w:pPr>
        <w:jc w:val="center"/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604EEE49" wp14:editId="733B5AA1">
            <wp:extent cx="4667250" cy="27432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D78AF" w:rsidRPr="00BD78AF" w:rsidRDefault="00BD78AF" w:rsidP="00BD78AF">
      <w:pPr>
        <w:spacing w:line="360" w:lineRule="auto"/>
        <w:rPr>
          <w:lang w:eastAsia="pt-BR"/>
        </w:rPr>
      </w:pPr>
      <w:r w:rsidRPr="00BD78AF">
        <w:t xml:space="preserve">Fonte: </w:t>
      </w:r>
      <w:r w:rsidR="007D38B5">
        <w:t>Autores (2023</w:t>
      </w:r>
      <w:r w:rsidR="007D38B5" w:rsidRPr="00A318E1">
        <w:t>).</w:t>
      </w:r>
    </w:p>
    <w:p w:rsidR="00B12590" w:rsidRDefault="00476CFE" w:rsidP="00476CFE">
      <w:pPr>
        <w:spacing w:line="360" w:lineRule="auto"/>
        <w:ind w:firstLine="720"/>
        <w:jc w:val="both"/>
      </w:pPr>
      <w:r>
        <w:t>As análises de renda mensal dentro dos grupos étnicos demonstram</w:t>
      </w:r>
      <w:r w:rsidR="00BD78AF">
        <w:t xml:space="preserve"> as diferenças entre grupos, renda e condição de moradia, sendo maiores para os mais privilegiados em condições financeiras e de saneamento, e menores onde se tem mais desigualdade e precariedade na oferta de serviços básicos (MORATO; MACHADO; MARTINEZ, 2018).</w:t>
      </w:r>
    </w:p>
    <w:p w:rsidR="00BD78AF" w:rsidRDefault="00BD78AF" w:rsidP="00476CFE">
      <w:pPr>
        <w:spacing w:line="360" w:lineRule="auto"/>
        <w:ind w:firstLine="720"/>
        <w:jc w:val="both"/>
      </w:pPr>
      <w:r>
        <w:t>É importante ressaltar que o índice de justiça ambiental e a qualidade ambiental fazem parte de uma mesma análise, pois uma depende da outra, no caso do distrito de Belém</w:t>
      </w:r>
      <w:r w:rsidR="00476CFE">
        <w:t>. É</w:t>
      </w:r>
      <w:r>
        <w:t xml:space="preserve"> possível observar baixos índices de justiça ambiental para a população parda e branca, diferente dos resultados obtidos por Morato, Machado e Martinez (2018), no estado de São Paulo, que apontou baixo índice para a população negra, parda e indígena, caracterizando racismo ambiental.</w:t>
      </w:r>
    </w:p>
    <w:p w:rsidR="00BD78AF" w:rsidRDefault="00120F41" w:rsidP="00476CFE">
      <w:pPr>
        <w:spacing w:line="360" w:lineRule="auto"/>
        <w:ind w:firstLine="720"/>
        <w:jc w:val="both"/>
      </w:pPr>
      <w:r w:rsidRPr="006D744A">
        <w:t>Uma explicação</w:t>
      </w:r>
      <w:r w:rsidR="00BD78AF" w:rsidRPr="006D744A">
        <w:t xml:space="preserve"> </w:t>
      </w:r>
      <w:r w:rsidRPr="006D744A">
        <w:t xml:space="preserve">para este resultado é que no </w:t>
      </w:r>
      <w:r w:rsidR="00BD78AF" w:rsidRPr="006D744A">
        <w:t>di</w:t>
      </w:r>
      <w:r w:rsidRPr="006D744A">
        <w:t xml:space="preserve">strito administrativo de Belém e as </w:t>
      </w:r>
      <w:r w:rsidR="00BD78AF" w:rsidRPr="006D744A">
        <w:t xml:space="preserve">áreas ao entorno do rio Guamá </w:t>
      </w:r>
      <w:r w:rsidRPr="006D744A">
        <w:t xml:space="preserve">são </w:t>
      </w:r>
      <w:r w:rsidR="00BD78AF" w:rsidRPr="006D744A">
        <w:t>consideradas como “centro”, como por exemplo, Umarizal, Marco, São Brás, Cidade Velha e Batista Campos</w:t>
      </w:r>
      <w:r w:rsidRPr="006D744A">
        <w:t>, no entanto, apresentam baixa cobertura de infraestrutura urbana, sobretudo afetando pardos e brancos compostos em sua maioria na área de estudo</w:t>
      </w:r>
      <w:r w:rsidR="00BD78AF" w:rsidRPr="006D744A">
        <w:t>.</w:t>
      </w:r>
    </w:p>
    <w:p w:rsidR="00A97975" w:rsidRPr="006D744A" w:rsidRDefault="00BD78AF" w:rsidP="00476CFE">
      <w:pPr>
        <w:spacing w:line="360" w:lineRule="auto"/>
        <w:ind w:firstLine="720"/>
        <w:jc w:val="both"/>
      </w:pPr>
      <w:r w:rsidRPr="006D744A">
        <w:lastRenderedPageBreak/>
        <w:t>Outra questão é que a região estudada é a mais antiga do município de Belém, marcada pela colonização de europeus e a miscigenação dos mesmos com negros e indígenas, a qual deu origem as pessoas pardas, tal fato explica a maioria de pessoas brancas e a minoria de pessoas negras. No entanto, segundo o IBGE (2010) a maioria das pessoas do município de Belém são pardas (64,19%), seguidas de brancas (27,27%), pretas (7,57%), amare</w:t>
      </w:r>
      <w:r w:rsidR="00A97975" w:rsidRPr="006D744A">
        <w:t>las (0,81%) e indígenas (0,16%).</w:t>
      </w:r>
    </w:p>
    <w:p w:rsidR="00BD78AF" w:rsidRDefault="00BD78AF" w:rsidP="00BD78AF">
      <w:pPr>
        <w:spacing w:line="360" w:lineRule="auto"/>
        <w:ind w:firstLine="697"/>
        <w:jc w:val="both"/>
        <w:rPr>
          <w:highlight w:val="white"/>
        </w:rPr>
      </w:pPr>
      <w:r>
        <w:rPr>
          <w:highlight w:val="white"/>
        </w:rPr>
        <w:t xml:space="preserve">Além da identidade da polução no que se refere à autodeclaração de raça, de acordo com levantamentos do IBGE (2010), em parceria com a Secretaria de Políticas de Promoção e Igualdade Racial, o estado do Pará possui o maior percentual dos que se declaram pardos com 69,5% </w:t>
      </w:r>
      <w:r>
        <w:t>da população do estado, isto se deve a própria formação histórica da população paraense, que sofreu forte influência na sua composição étnica de vários povos imigrantes durante a segunda metade do século 16, como p</w:t>
      </w:r>
      <w:r>
        <w:rPr>
          <w:highlight w:val="white"/>
        </w:rPr>
        <w:t>ortugueses, italianos, espanhóis, japoneses, e franceses que iniciaram o processo de miscigenação com os índios e negros na Amazônia.</w:t>
      </w:r>
    </w:p>
    <w:p w:rsidR="00BD78AF" w:rsidRDefault="00BD78AF" w:rsidP="00BD78AF">
      <w:pPr>
        <w:spacing w:line="360" w:lineRule="auto"/>
        <w:ind w:firstLine="697"/>
        <w:jc w:val="both"/>
      </w:pPr>
      <w:r>
        <w:t>Em uma pesquisa realizada por G</w:t>
      </w:r>
      <w:r>
        <w:rPr>
          <w:highlight w:val="white"/>
        </w:rPr>
        <w:t xml:space="preserve">uimarães e Newton (2017), </w:t>
      </w:r>
      <w:r>
        <w:t>em 7 cidades brasileiras, incluindo a cidade de Belém constatou que, entre a empregadas domésticas sindicalizadas e não sindicalizadas, os resultados dentre as sindicalizadas foram de 60% pardas e 40% negras, e as não sindicalizadas foram de 80% negras e 20% pardas, neste contexto os autores inferem que a porcentagem que responderam que eram pardas, poderiam ter respondido que eram “morenas”, se houvesse essa alternativa. Isto se deve principalmente pela visão associada à mestiçagem brasileira e a ideologia do branqueamento da população, que simboliza o branco como superior e privilegiado (CONRADO; CAMPELO; RIBEIRO, 2015).</w:t>
      </w:r>
    </w:p>
    <w:p w:rsidR="00162260" w:rsidRDefault="00BD78AF" w:rsidP="00162260">
      <w:pPr>
        <w:spacing w:line="360" w:lineRule="auto"/>
        <w:ind w:firstLine="697"/>
        <w:jc w:val="both"/>
      </w:pPr>
      <w:r w:rsidRPr="006D744A">
        <w:t>Os autores supracitados ressaltam que</w:t>
      </w:r>
      <w:r w:rsidR="00162260">
        <w:t xml:space="preserve"> é possível admitir-se a premissa de pensar a construção da</w:t>
      </w:r>
      <w:r w:rsidR="00922FBD">
        <w:t xml:space="preserve"> </w:t>
      </w:r>
      <w:r w:rsidR="00162260">
        <w:t xml:space="preserve">identidade negra no estado do Pará, onde se passa inicialmente, pela ideia de </w:t>
      </w:r>
      <w:proofErr w:type="spellStart"/>
      <w:r w:rsidR="00162260">
        <w:t>morenidade</w:t>
      </w:r>
      <w:proofErr w:type="spellEnd"/>
      <w:r w:rsidR="00162260">
        <w:t xml:space="preserve"> e suas variantes. Dentre as quais, as categorias preferenciais do paraense para falar de cor/raça e a conceituação da </w:t>
      </w:r>
      <w:proofErr w:type="spellStart"/>
      <w:r w:rsidR="00162260">
        <w:t>morenidade</w:t>
      </w:r>
      <w:proofErr w:type="spellEnd"/>
      <w:r w:rsidR="00162260">
        <w:t xml:space="preserve">, sendo esta utilizada desde o final do século XIX, como uma forma de apagar as raízes negras da cidade, a qual se criou a cor morena e nega-se a cor preta </w:t>
      </w:r>
      <w:bookmarkStart w:id="4" w:name="_heading=h.qqwgueecy4kw"/>
      <w:bookmarkEnd w:id="4"/>
      <w:r w:rsidR="00162260">
        <w:t>(CONRADO; CAMPELO; RIBEIRO, 2015).</w:t>
      </w:r>
    </w:p>
    <w:p w:rsidR="00BD78AF" w:rsidRDefault="00BD78AF" w:rsidP="00162260">
      <w:pPr>
        <w:spacing w:line="360" w:lineRule="auto"/>
        <w:ind w:firstLine="697"/>
        <w:jc w:val="both"/>
      </w:pPr>
      <w:r>
        <w:t xml:space="preserve">Deve-se levar em consideração que o crescimento populacional, incentivou a migração da população para áreas mais afastadas (regiões metropolitanas), onde diariamente há um grande deslocamento de pessoas que trabalham nos centros, mas que moram nessas regiões mais distantes, e necessitam em sua maioria do uso de transporte público para se locomoverem, </w:t>
      </w:r>
      <w:r>
        <w:lastRenderedPageBreak/>
        <w:t xml:space="preserve">está migração deve-se principalmente pelas ofertas no mercado de terra urbano (DELGADO </w:t>
      </w:r>
      <w:r>
        <w:rPr>
          <w:i/>
        </w:rPr>
        <w:t>et al</w:t>
      </w:r>
      <w:r>
        <w:t>,. 2016).</w:t>
      </w:r>
    </w:p>
    <w:p w:rsidR="00BD78AF" w:rsidRDefault="00BD78AF" w:rsidP="00BD78AF">
      <w:pPr>
        <w:spacing w:line="360" w:lineRule="auto"/>
        <w:ind w:firstLine="697"/>
        <w:jc w:val="both"/>
      </w:pPr>
      <w:r>
        <w:t xml:space="preserve">Nesse sentido observando que o distrito administrativo de Belém é umas das áreas mais antigas e no seu passado foi colonizada em sua maioria por europeus, Oliveira (2020), afirma que nas áreas mais desenvolvidas e urbanizadas a força de  trabalho  branca  foi  assimilada  para  a  composição  da  sociedade  urbana  industrial,  nas demais regiões do país, como por exemplo, no norte e nordeste, a população negra manteve-se em quase todas as  atividades,  mas  somente  nos  espaços  e  ocupações  de  pouco  destaque  socioeconômico  e político.   </w:t>
      </w:r>
    </w:p>
    <w:p w:rsidR="00BC4261" w:rsidRPr="00BC4261" w:rsidRDefault="00BC4261" w:rsidP="00BC426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:rsidR="00971142" w:rsidRDefault="00BC4261" w:rsidP="00BC426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>CONSIDERAÇÕES FINAIS</w:t>
      </w:r>
    </w:p>
    <w:p w:rsidR="00BD78AF" w:rsidRDefault="00BD78AF" w:rsidP="00BD78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ab/>
      </w:r>
      <w:r>
        <w:t>Diante exposto, podemos concluir que as técnicas de geoprocessamento</w:t>
      </w:r>
      <w:r w:rsidR="00476CFE">
        <w:t>,</w:t>
      </w:r>
      <w:r>
        <w:t xml:space="preserve"> em conjunto com a base de dados do IBGE (2010), mostraram</w:t>
      </w:r>
      <w:r w:rsidR="00476CFE">
        <w:t>-se</w:t>
      </w:r>
      <w:r>
        <w:t xml:space="preserve"> de grande valia para a execução as análises de distribuição espacial da qualidade ambiental no distrito de Belém</w:t>
      </w:r>
      <w:r w:rsidR="00476CFE">
        <w:t>. A</w:t>
      </w:r>
      <w:r>
        <w:t xml:space="preserve"> qualidade</w:t>
      </w:r>
      <w:r w:rsidR="00922FBD">
        <w:t xml:space="preserve"> ambiental e as relações étnico-</w:t>
      </w:r>
      <w:r>
        <w:t xml:space="preserve">raciais nos setores censitários estão </w:t>
      </w:r>
      <w:r w:rsidR="00922FBD">
        <w:t>relacionadas</w:t>
      </w:r>
      <w:r>
        <w:t xml:space="preserve"> principalmente com a renda, possuindo caraterística diretamente proporcional a qualidade ambiental.</w:t>
      </w:r>
    </w:p>
    <w:p w:rsidR="00BD78AF" w:rsidRDefault="00BD78AF" w:rsidP="00BD78AF">
      <w:pPr>
        <w:spacing w:line="360" w:lineRule="auto"/>
        <w:jc w:val="both"/>
      </w:pPr>
      <w:r>
        <w:tab/>
        <w:t>Os índices de qualidade ambiental se mostraram baixo</w:t>
      </w:r>
      <w:r w:rsidR="0020382A">
        <w:t>s</w:t>
      </w:r>
      <w:r>
        <w:t>, devido à baixa oferta de infraestrutura urbana nos setores censitários analisados na pesquisa, que, por conseguinte reduz significativamente a qualidade de vida e expõe a sociedade vulnerável a riscos, que em sua maioria são constituídos por brancos e pardos. No entanto, em relação à questão socioeconômica, a população preta e parda foram as que apresentaram menor rendimento médio evidenciado pela correlação negativa.</w:t>
      </w:r>
    </w:p>
    <w:p w:rsidR="00BD78AF" w:rsidRDefault="00BD78AF" w:rsidP="00BD78AF">
      <w:pPr>
        <w:spacing w:line="360" w:lineRule="auto"/>
        <w:jc w:val="both"/>
      </w:pPr>
      <w:r>
        <w:tab/>
        <w:t xml:space="preserve">Outro ponto importante, que pode ser utilizado para pesquisas futuras é a relação entre o crescimento populacional e o aumento de terras nos centros urbanos, incentivando </w:t>
      </w:r>
      <w:r w:rsidR="00922FBD">
        <w:t>a migração e a segregação étnico-racial</w:t>
      </w:r>
      <w:r>
        <w:t xml:space="preserve"> e das classes econômicas mais baixas para áreas mais afastadas (região metropolitana), em busca de estabelecer um domicílio particular permanente, com</w:t>
      </w:r>
      <w:r w:rsidR="00922FBD">
        <w:t xml:space="preserve"> preços mais acessíveis, bem como explorar o racismo e injustiça ambiental em outros </w:t>
      </w:r>
      <w:r w:rsidR="00922FBD" w:rsidRPr="006D744A">
        <w:t>distritos administrativos do município de Belém, portanto abranger a área de estudo, principalmente nas regiões consideradas periféricas</w:t>
      </w:r>
      <w:r w:rsidR="00922FBD">
        <w:t>, o que sugere que os resultados possam ser bem diferentes dos encontrados</w:t>
      </w:r>
      <w:r>
        <w:t xml:space="preserve">.    </w:t>
      </w:r>
    </w:p>
    <w:p w:rsidR="00CA3CF8" w:rsidRDefault="00BD78AF" w:rsidP="00BD78AF">
      <w:pPr>
        <w:spacing w:line="360" w:lineRule="auto"/>
        <w:jc w:val="both"/>
      </w:pPr>
      <w:r>
        <w:tab/>
        <w:t xml:space="preserve">Em relação ao quantitativo de pessoas brancas e pardas, é necessário ressaltar tanto o contexto histórico, na formação da população paraense e suas diversas influências étnicas, quanto a autonomia na </w:t>
      </w:r>
      <w:r w:rsidR="0020382A">
        <w:t>auto declaração</w:t>
      </w:r>
      <w:r>
        <w:t xml:space="preserve"> racial, que sofre pressões sociais, racismo, e supremacia </w:t>
      </w:r>
      <w:r>
        <w:lastRenderedPageBreak/>
        <w:t xml:space="preserve">branca que ainda reverbera na atualidade, reflexo do preconceito que influenciam na identificação e reconhecimento pessoal em um grupo étnico. </w:t>
      </w:r>
    </w:p>
    <w:p w:rsidR="00BD78AF" w:rsidRDefault="00BD78AF" w:rsidP="00BD78AF">
      <w:pPr>
        <w:spacing w:line="360" w:lineRule="auto"/>
        <w:jc w:val="both"/>
        <w:rPr>
          <w:b/>
          <w:lang w:eastAsia="pt-BR"/>
        </w:rPr>
      </w:pPr>
      <w:r>
        <w:t xml:space="preserve">  </w:t>
      </w:r>
    </w:p>
    <w:p w:rsidR="00971142" w:rsidRDefault="00BD78AF" w:rsidP="00BD78A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:rsidR="00BD78AF" w:rsidRDefault="00BD78AF" w:rsidP="009C200C">
      <w:pPr>
        <w:rPr>
          <w:highlight w:val="white"/>
        </w:rPr>
      </w:pPr>
      <w:r>
        <w:rPr>
          <w:highlight w:val="white"/>
        </w:rPr>
        <w:t xml:space="preserve">ALVES, Humberto Prates da Fonseca. Desigualdade ambiental no município de São Paulo: análise da exposição diferenciada de grupos sociais a situações de risco ambiental através do uso de metodologias de geoprocessamento. </w:t>
      </w:r>
      <w:r>
        <w:rPr>
          <w:b/>
          <w:highlight w:val="white"/>
        </w:rPr>
        <w:t>Rev. bras. estud. popul</w:t>
      </w:r>
      <w:r>
        <w:rPr>
          <w:highlight w:val="white"/>
        </w:rPr>
        <w:t>., São Paulo, v. 24, n. 2, p. 301-316, Dec.  2007.</w:t>
      </w:r>
    </w:p>
    <w:p w:rsidR="00CA3CF8" w:rsidRDefault="00CA3CF8" w:rsidP="009C200C">
      <w:pPr>
        <w:rPr>
          <w:highlight w:val="white"/>
          <w:lang w:eastAsia="pt-BR"/>
        </w:rPr>
      </w:pPr>
    </w:p>
    <w:p w:rsidR="00BD78AF" w:rsidRDefault="00BD78AF" w:rsidP="009C200C">
      <w:pPr>
        <w:rPr>
          <w:highlight w:val="white"/>
        </w:rPr>
      </w:pPr>
      <w:bookmarkStart w:id="5" w:name="_Hlk68541594"/>
      <w:r>
        <w:rPr>
          <w:highlight w:val="white"/>
        </w:rPr>
        <w:t xml:space="preserve">BECK, Ulrich. </w:t>
      </w:r>
      <w:r>
        <w:rPr>
          <w:b/>
          <w:highlight w:val="white"/>
        </w:rPr>
        <w:t>Sociedade de risco: rumo a uma outra modernidade</w:t>
      </w:r>
      <w:r>
        <w:rPr>
          <w:highlight w:val="white"/>
        </w:rPr>
        <w:t>. Editora 34, 2011.</w:t>
      </w:r>
    </w:p>
    <w:p w:rsidR="00CA3CF8" w:rsidRDefault="00CA3CF8" w:rsidP="009C200C">
      <w:pPr>
        <w:rPr>
          <w:highlight w:val="white"/>
        </w:rPr>
      </w:pPr>
    </w:p>
    <w:bookmarkEnd w:id="5"/>
    <w:p w:rsidR="00BD78AF" w:rsidRDefault="00BD78AF" w:rsidP="009C200C">
      <w:pPr>
        <w:rPr>
          <w:highlight w:val="white"/>
        </w:rPr>
      </w:pPr>
      <w:r>
        <w:rPr>
          <w:highlight w:val="white"/>
        </w:rPr>
        <w:t xml:space="preserve">BRASIL. Código Penal [1940], </w:t>
      </w:r>
      <w:r>
        <w:rPr>
          <w:b/>
          <w:highlight w:val="white"/>
        </w:rPr>
        <w:t>Lei nº2.848, artigo 155</w:t>
      </w:r>
      <w:r>
        <w:rPr>
          <w:highlight w:val="white"/>
        </w:rPr>
        <w:t xml:space="preserve">. ed. Saraiva, 1995. </w:t>
      </w:r>
    </w:p>
    <w:p w:rsidR="00CA3CF8" w:rsidRDefault="00CA3CF8" w:rsidP="009C200C">
      <w:pPr>
        <w:rPr>
          <w:highlight w:val="white"/>
        </w:rPr>
      </w:pPr>
    </w:p>
    <w:p w:rsidR="00BD78AF" w:rsidRDefault="00BD78AF" w:rsidP="009C200C">
      <w:pPr>
        <w:rPr>
          <w:highlight w:val="white"/>
        </w:rPr>
      </w:pPr>
      <w:r>
        <w:rPr>
          <w:highlight w:val="white"/>
        </w:rPr>
        <w:t xml:space="preserve">COHEN, J. (1988). </w:t>
      </w:r>
      <w:proofErr w:type="spellStart"/>
      <w:r>
        <w:rPr>
          <w:b/>
          <w:highlight w:val="white"/>
        </w:rPr>
        <w:t>Statistical</w:t>
      </w:r>
      <w:proofErr w:type="spellEnd"/>
      <w:r>
        <w:rPr>
          <w:b/>
          <w:highlight w:val="white"/>
        </w:rPr>
        <w:t xml:space="preserve"> Power </w:t>
      </w:r>
      <w:proofErr w:type="spellStart"/>
      <w:r>
        <w:rPr>
          <w:b/>
          <w:highlight w:val="white"/>
        </w:rPr>
        <w:t>Analysis</w:t>
      </w:r>
      <w:proofErr w:type="spellEnd"/>
      <w:r>
        <w:rPr>
          <w:b/>
          <w:highlight w:val="white"/>
        </w:rPr>
        <w:t xml:space="preserve"> for </w:t>
      </w:r>
      <w:proofErr w:type="spellStart"/>
      <w:r>
        <w:rPr>
          <w:b/>
          <w:highlight w:val="white"/>
        </w:rPr>
        <w:t>the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Behavioral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Sciences</w:t>
      </w:r>
      <w:proofErr w:type="spellEnd"/>
      <w:r>
        <w:rPr>
          <w:highlight w:val="white"/>
        </w:rPr>
        <w:t xml:space="preserve"> (2nd ed.). </w:t>
      </w:r>
      <w:proofErr w:type="spellStart"/>
      <w:r>
        <w:rPr>
          <w:highlight w:val="white"/>
        </w:rPr>
        <w:t>Routledge</w:t>
      </w:r>
      <w:proofErr w:type="spellEnd"/>
      <w:r>
        <w:rPr>
          <w:highlight w:val="white"/>
        </w:rPr>
        <w:t>.</w:t>
      </w:r>
    </w:p>
    <w:p w:rsidR="00CA3CF8" w:rsidRDefault="00CA3CF8" w:rsidP="009C200C">
      <w:pPr>
        <w:rPr>
          <w:highlight w:val="white"/>
        </w:rPr>
      </w:pPr>
    </w:p>
    <w:p w:rsidR="00BD78AF" w:rsidRDefault="00BD78AF" w:rsidP="009C200C">
      <w:pPr>
        <w:rPr>
          <w:highlight w:val="white"/>
        </w:rPr>
      </w:pPr>
      <w:bookmarkStart w:id="6" w:name="_Hlk68541620"/>
      <w:r>
        <w:rPr>
          <w:highlight w:val="white"/>
        </w:rPr>
        <w:t xml:space="preserve">COPETTI, Camila; LOTTERMANN, Osmar. Em busca da justiça ambiental e do desenvolvimento sustentável na sociedade de risco. </w:t>
      </w:r>
      <w:r>
        <w:rPr>
          <w:b/>
          <w:highlight w:val="white"/>
        </w:rPr>
        <w:t>Desenvolvimento em Questão</w:t>
      </w:r>
      <w:r>
        <w:rPr>
          <w:highlight w:val="white"/>
        </w:rPr>
        <w:t>, v. 8, n. 15, p. 133-152, 2010.</w:t>
      </w:r>
    </w:p>
    <w:p w:rsidR="00CA3CF8" w:rsidRDefault="00CA3CF8" w:rsidP="009C200C">
      <w:pPr>
        <w:rPr>
          <w:highlight w:val="white"/>
        </w:rPr>
      </w:pPr>
    </w:p>
    <w:p w:rsidR="00BD78AF" w:rsidRDefault="00BD78AF" w:rsidP="009C200C">
      <w:pPr>
        <w:jc w:val="both"/>
        <w:rPr>
          <w:highlight w:val="white"/>
        </w:rPr>
      </w:pPr>
      <w:bookmarkStart w:id="7" w:name="_Hlk68541781"/>
      <w:bookmarkEnd w:id="6"/>
      <w:r>
        <w:rPr>
          <w:highlight w:val="white"/>
        </w:rPr>
        <w:t xml:space="preserve">CONRADO, Mônica; CAMPELO, Marilu; RIBEIRO, Alan. Metáforas da cor: </w:t>
      </w:r>
      <w:proofErr w:type="spellStart"/>
      <w:r>
        <w:rPr>
          <w:highlight w:val="white"/>
        </w:rPr>
        <w:t>morenidade</w:t>
      </w:r>
      <w:proofErr w:type="spellEnd"/>
      <w:r>
        <w:rPr>
          <w:highlight w:val="white"/>
        </w:rPr>
        <w:t xml:space="preserve"> e territórios da negritude nas construções de identidades negras na Amazônia paraense. </w:t>
      </w:r>
      <w:r>
        <w:rPr>
          <w:b/>
          <w:highlight w:val="white"/>
        </w:rPr>
        <w:t>Afro-Ásia</w:t>
      </w:r>
      <w:r>
        <w:rPr>
          <w:highlight w:val="white"/>
        </w:rPr>
        <w:t>, n. 52, 2015.</w:t>
      </w:r>
    </w:p>
    <w:p w:rsidR="00CA3CF8" w:rsidRDefault="00CA3CF8" w:rsidP="009C200C">
      <w:pPr>
        <w:jc w:val="both"/>
        <w:rPr>
          <w:highlight w:val="white"/>
        </w:rPr>
      </w:pPr>
    </w:p>
    <w:p w:rsidR="00BD78AF" w:rsidRDefault="00BD78AF" w:rsidP="009C200C">
      <w:pPr>
        <w:rPr>
          <w:highlight w:val="white"/>
        </w:rPr>
      </w:pPr>
      <w:r>
        <w:rPr>
          <w:highlight w:val="white"/>
        </w:rPr>
        <w:t xml:space="preserve">DELGADO, Paulo Roberto et al. </w:t>
      </w:r>
      <w:r>
        <w:rPr>
          <w:b/>
          <w:highlight w:val="white"/>
        </w:rPr>
        <w:t>Mobilidades nas regiões metropolitanas brasileiras: processos migratórios e deslocamentos pendulares</w:t>
      </w:r>
      <w:r>
        <w:rPr>
          <w:highlight w:val="white"/>
        </w:rPr>
        <w:t>. 2016.</w:t>
      </w:r>
    </w:p>
    <w:p w:rsidR="00646459" w:rsidRDefault="00646459" w:rsidP="006B4017">
      <w:pPr>
        <w:rPr>
          <w:highlight w:val="white"/>
        </w:rPr>
      </w:pPr>
    </w:p>
    <w:p w:rsidR="00646459" w:rsidRPr="00646459" w:rsidRDefault="00646459" w:rsidP="006B4017">
      <w:pPr>
        <w:rPr>
          <w:highlight w:val="white"/>
        </w:rPr>
      </w:pPr>
      <w:r w:rsidRPr="00646459">
        <w:rPr>
          <w:color w:val="222222"/>
          <w:shd w:val="clear" w:color="auto" w:fill="FFFFFF"/>
        </w:rPr>
        <w:t>FERREIRA, Danilo Cardoso; RATTS, Alex. Geografia da diferença: diferenci</w:t>
      </w:r>
      <w:r w:rsidR="006B4017">
        <w:rPr>
          <w:color w:val="222222"/>
          <w:shd w:val="clear" w:color="auto" w:fill="FFFFFF"/>
        </w:rPr>
        <w:t xml:space="preserve">ações </w:t>
      </w:r>
      <w:proofErr w:type="spellStart"/>
      <w:r w:rsidR="00CA6F37">
        <w:rPr>
          <w:color w:val="222222"/>
          <w:shd w:val="clear" w:color="auto" w:fill="FFFFFF"/>
        </w:rPr>
        <w:t>socioespaciais</w:t>
      </w:r>
      <w:proofErr w:type="spellEnd"/>
      <w:r w:rsidR="00CA6F37">
        <w:rPr>
          <w:color w:val="222222"/>
          <w:shd w:val="clear" w:color="auto" w:fill="FFFFFF"/>
        </w:rPr>
        <w:t xml:space="preserve"> e raciais/</w:t>
      </w:r>
      <w:proofErr w:type="spellStart"/>
      <w:r w:rsidR="00CA6F37">
        <w:rPr>
          <w:color w:val="222222"/>
          <w:shd w:val="clear" w:color="auto" w:fill="FFFFFF"/>
        </w:rPr>
        <w:t>G</w:t>
      </w:r>
      <w:r w:rsidRPr="00646459">
        <w:rPr>
          <w:color w:val="222222"/>
          <w:shd w:val="clear" w:color="auto" w:fill="FFFFFF"/>
        </w:rPr>
        <w:t>eography</w:t>
      </w:r>
      <w:proofErr w:type="spellEnd"/>
      <w:r w:rsidRPr="00646459">
        <w:rPr>
          <w:color w:val="222222"/>
          <w:shd w:val="clear" w:color="auto" w:fill="FFFFFF"/>
        </w:rPr>
        <w:t xml:space="preserve"> </w:t>
      </w:r>
      <w:proofErr w:type="spellStart"/>
      <w:r w:rsidRPr="00646459">
        <w:rPr>
          <w:color w:val="222222"/>
          <w:shd w:val="clear" w:color="auto" w:fill="FFFFFF"/>
        </w:rPr>
        <w:t>of</w:t>
      </w:r>
      <w:proofErr w:type="spellEnd"/>
      <w:r w:rsidRPr="00646459">
        <w:rPr>
          <w:color w:val="222222"/>
          <w:shd w:val="clear" w:color="auto" w:fill="FFFFFF"/>
        </w:rPr>
        <w:t xml:space="preserve"> </w:t>
      </w:r>
      <w:proofErr w:type="spellStart"/>
      <w:r w:rsidRPr="00646459">
        <w:rPr>
          <w:color w:val="222222"/>
          <w:shd w:val="clear" w:color="auto" w:fill="FFFFFF"/>
        </w:rPr>
        <w:t>the</w:t>
      </w:r>
      <w:proofErr w:type="spellEnd"/>
      <w:r w:rsidRPr="00646459">
        <w:rPr>
          <w:color w:val="222222"/>
          <w:shd w:val="clear" w:color="auto" w:fill="FFFFFF"/>
        </w:rPr>
        <w:t xml:space="preserve"> </w:t>
      </w:r>
      <w:proofErr w:type="spellStart"/>
      <w:r w:rsidRPr="00646459">
        <w:rPr>
          <w:color w:val="222222"/>
          <w:shd w:val="clear" w:color="auto" w:fill="FFFFFF"/>
        </w:rPr>
        <w:t>difference</w:t>
      </w:r>
      <w:proofErr w:type="spellEnd"/>
      <w:r w:rsidRPr="00646459">
        <w:rPr>
          <w:color w:val="222222"/>
          <w:shd w:val="clear" w:color="auto" w:fill="FFFFFF"/>
        </w:rPr>
        <w:t xml:space="preserve">: </w:t>
      </w:r>
      <w:proofErr w:type="spellStart"/>
      <w:r w:rsidRPr="00646459">
        <w:rPr>
          <w:color w:val="222222"/>
          <w:shd w:val="clear" w:color="auto" w:fill="FFFFFF"/>
        </w:rPr>
        <w:t>socio-spatial</w:t>
      </w:r>
      <w:proofErr w:type="spellEnd"/>
      <w:r w:rsidRPr="00646459">
        <w:rPr>
          <w:color w:val="222222"/>
          <w:shd w:val="clear" w:color="auto" w:fill="FFFFFF"/>
        </w:rPr>
        <w:t xml:space="preserve"> </w:t>
      </w:r>
      <w:proofErr w:type="spellStart"/>
      <w:r w:rsidRPr="00646459">
        <w:rPr>
          <w:color w:val="222222"/>
          <w:shd w:val="clear" w:color="auto" w:fill="FFFFFF"/>
        </w:rPr>
        <w:t>and</w:t>
      </w:r>
      <w:proofErr w:type="spellEnd"/>
      <w:r w:rsidRPr="00646459">
        <w:rPr>
          <w:color w:val="222222"/>
          <w:shd w:val="clear" w:color="auto" w:fill="FFFFFF"/>
        </w:rPr>
        <w:t xml:space="preserve"> racial </w:t>
      </w:r>
      <w:proofErr w:type="spellStart"/>
      <w:r w:rsidRPr="00646459">
        <w:rPr>
          <w:color w:val="222222"/>
          <w:shd w:val="clear" w:color="auto" w:fill="FFFFFF"/>
        </w:rPr>
        <w:t>differentiations</w:t>
      </w:r>
      <w:proofErr w:type="spellEnd"/>
      <w:r w:rsidRPr="00646459">
        <w:rPr>
          <w:color w:val="222222"/>
          <w:shd w:val="clear" w:color="auto" w:fill="FFFFFF"/>
        </w:rPr>
        <w:t>. </w:t>
      </w:r>
      <w:r w:rsidRPr="00646459">
        <w:rPr>
          <w:b/>
          <w:bCs/>
          <w:color w:val="222222"/>
          <w:shd w:val="clear" w:color="auto" w:fill="FFFFFF"/>
        </w:rPr>
        <w:t xml:space="preserve">Revista </w:t>
      </w:r>
      <w:proofErr w:type="spellStart"/>
      <w:r w:rsidRPr="00646459">
        <w:rPr>
          <w:b/>
          <w:bCs/>
          <w:color w:val="222222"/>
          <w:shd w:val="clear" w:color="auto" w:fill="FFFFFF"/>
        </w:rPr>
        <w:t>GeoAmazônia</w:t>
      </w:r>
      <w:proofErr w:type="spellEnd"/>
      <w:r w:rsidRPr="00646459">
        <w:rPr>
          <w:color w:val="222222"/>
          <w:shd w:val="clear" w:color="auto" w:fill="FFFFFF"/>
        </w:rPr>
        <w:t>, v. 4, n. 07, p. 97-105, 2016.</w:t>
      </w:r>
    </w:p>
    <w:p w:rsidR="00BD78AF" w:rsidRDefault="00BD78AF" w:rsidP="009C200C">
      <w:pPr>
        <w:spacing w:before="240" w:after="240"/>
        <w:jc w:val="both"/>
        <w:rPr>
          <w:highlight w:val="white"/>
        </w:rPr>
      </w:pPr>
      <w:bookmarkStart w:id="8" w:name="_Hlk68542451"/>
      <w:bookmarkEnd w:id="7"/>
      <w:r>
        <w:rPr>
          <w:highlight w:val="white"/>
        </w:rPr>
        <w:t>FERNANDES, D. A.; SOUSA, C. N.; RODRIGUES, D. L. A metrópole de Belém na transição econômica: estrutura produtiva e mercado de trabalho. In: CARDOSO, A. C. D.; LIMA, J. J. F. (</w:t>
      </w:r>
      <w:proofErr w:type="spellStart"/>
      <w:r>
        <w:rPr>
          <w:highlight w:val="white"/>
        </w:rPr>
        <w:t>Orgs</w:t>
      </w:r>
      <w:proofErr w:type="spellEnd"/>
      <w:r>
        <w:rPr>
          <w:highlight w:val="white"/>
        </w:rPr>
        <w:t xml:space="preserve">.). </w:t>
      </w:r>
      <w:r>
        <w:rPr>
          <w:b/>
          <w:highlight w:val="white"/>
        </w:rPr>
        <w:t>Belém: transformações na ordem urbana.</w:t>
      </w:r>
      <w:r>
        <w:rPr>
          <w:highlight w:val="white"/>
        </w:rPr>
        <w:t xml:space="preserve"> Rio de Janeiro: Letra Capital: </w:t>
      </w:r>
      <w:proofErr w:type="spellStart"/>
      <w:r>
        <w:rPr>
          <w:highlight w:val="white"/>
        </w:rPr>
        <w:t>Observató</w:t>
      </w:r>
      <w:proofErr w:type="spellEnd"/>
      <w:r>
        <w:rPr>
          <w:highlight w:val="white"/>
        </w:rPr>
        <w:t>- rio das Metrópoles, 2015. p.89-120.</w:t>
      </w:r>
    </w:p>
    <w:p w:rsidR="00BD78AF" w:rsidRDefault="00BD78AF" w:rsidP="009C200C">
      <w:pPr>
        <w:rPr>
          <w:highlight w:val="white"/>
        </w:rPr>
      </w:pPr>
      <w:bookmarkStart w:id="9" w:name="_Hlk68541808"/>
      <w:bookmarkEnd w:id="8"/>
      <w:r>
        <w:rPr>
          <w:highlight w:val="white"/>
        </w:rPr>
        <w:t xml:space="preserve">GIDDENS, Anthony. </w:t>
      </w:r>
      <w:r>
        <w:rPr>
          <w:b/>
          <w:highlight w:val="white"/>
        </w:rPr>
        <w:t>Para além da esquerda e da direita o futuro da política radical</w:t>
      </w:r>
      <w:r>
        <w:rPr>
          <w:highlight w:val="white"/>
        </w:rPr>
        <w:t>. São Paulo: Unesp, 1996.</w:t>
      </w:r>
    </w:p>
    <w:p w:rsidR="00B21125" w:rsidRDefault="00BD78AF" w:rsidP="009C200C">
      <w:pPr>
        <w:spacing w:before="240" w:after="240"/>
        <w:jc w:val="both"/>
        <w:rPr>
          <w:highlight w:val="white"/>
        </w:rPr>
      </w:pPr>
      <w:r>
        <w:rPr>
          <w:highlight w:val="white"/>
        </w:rPr>
        <w:t xml:space="preserve">GIDDENS, Anthony. </w:t>
      </w:r>
      <w:r>
        <w:rPr>
          <w:b/>
          <w:highlight w:val="white"/>
        </w:rPr>
        <w:t>Política de mudança climática</w:t>
      </w:r>
      <w:r>
        <w:rPr>
          <w:highlight w:val="white"/>
        </w:rPr>
        <w:t xml:space="preserve">. </w:t>
      </w:r>
      <w:r w:rsidR="006D5378">
        <w:rPr>
          <w:highlight w:val="white"/>
        </w:rPr>
        <w:t xml:space="preserve">Cambridge: </w:t>
      </w:r>
      <w:r>
        <w:rPr>
          <w:highlight w:val="white"/>
        </w:rPr>
        <w:t>Polity</w:t>
      </w:r>
      <w:r w:rsidR="006D5378">
        <w:rPr>
          <w:highlight w:val="white"/>
        </w:rPr>
        <w:t xml:space="preserve"> Press</w:t>
      </w:r>
      <w:r>
        <w:rPr>
          <w:highlight w:val="white"/>
        </w:rPr>
        <w:t>,</w:t>
      </w:r>
      <w:r w:rsidR="006D5378">
        <w:rPr>
          <w:highlight w:val="white"/>
        </w:rPr>
        <w:t xml:space="preserve"> </w:t>
      </w:r>
      <w:r>
        <w:rPr>
          <w:highlight w:val="white"/>
        </w:rPr>
        <w:t>2009.</w:t>
      </w:r>
      <w:r w:rsidR="006D5378">
        <w:rPr>
          <w:highlight w:val="white"/>
        </w:rPr>
        <w:t xml:space="preserve"> 256p.</w:t>
      </w:r>
      <w:bookmarkEnd w:id="9"/>
    </w:p>
    <w:p w:rsidR="00BD78AF" w:rsidRDefault="00BD78AF" w:rsidP="009C200C">
      <w:pPr>
        <w:spacing w:before="240" w:after="240"/>
        <w:jc w:val="both"/>
        <w:rPr>
          <w:highlight w:val="white"/>
        </w:rPr>
      </w:pPr>
      <w:r>
        <w:rPr>
          <w:highlight w:val="white"/>
        </w:rPr>
        <w:t xml:space="preserve">GUIMARÃES, Flávio Romero; NEWTON, PAULLA CHRISTIANNE DA COSTA. Dizer-Se Parda, Para Não Se Dizer Negra: Autodeclaração Entre Trabalhadoras Domésticas Sindicalizadas E Não Sindicalizadas Do Brasil. </w:t>
      </w:r>
      <w:r>
        <w:rPr>
          <w:b/>
          <w:highlight w:val="white"/>
        </w:rPr>
        <w:t>Revista Brasileira de Direitos e Garantias Fundamentais</w:t>
      </w:r>
      <w:r>
        <w:rPr>
          <w:highlight w:val="white"/>
        </w:rPr>
        <w:t>, v. 3, n. 2, p. 128-143, 2017.</w:t>
      </w:r>
    </w:p>
    <w:p w:rsidR="00BD78AF" w:rsidRDefault="00BD78AF" w:rsidP="009C200C">
      <w:pPr>
        <w:rPr>
          <w:highlight w:val="white"/>
        </w:rPr>
      </w:pPr>
      <w:r>
        <w:rPr>
          <w:highlight w:val="white"/>
        </w:rPr>
        <w:lastRenderedPageBreak/>
        <w:t>HERCULANO, Selene. O clamor por justiça ambiental e contra o racismo ambiental. </w:t>
      </w:r>
      <w:r>
        <w:rPr>
          <w:b/>
          <w:highlight w:val="white"/>
        </w:rPr>
        <w:t>Revista de gestão integrada em saúde do trabalho e meio ambiente</w:t>
      </w:r>
      <w:r>
        <w:rPr>
          <w:highlight w:val="white"/>
        </w:rPr>
        <w:t>, v. 3, n. 1, p. 01-20, 2008.</w:t>
      </w:r>
    </w:p>
    <w:p w:rsidR="00CA3CF8" w:rsidRDefault="00CA3CF8" w:rsidP="009C200C">
      <w:pPr>
        <w:rPr>
          <w:highlight w:val="white"/>
        </w:rPr>
      </w:pPr>
    </w:p>
    <w:p w:rsidR="00BD78AF" w:rsidRDefault="00BD78AF" w:rsidP="009C200C">
      <w:pPr>
        <w:rPr>
          <w:highlight w:val="white"/>
        </w:rPr>
      </w:pPr>
      <w:bookmarkStart w:id="10" w:name="_Hlk68541825"/>
      <w:r>
        <w:rPr>
          <w:highlight w:val="white"/>
        </w:rPr>
        <w:t xml:space="preserve">IBGE – Instituto Brasileiro de Geografia e Estatística. Instituto Brasileiro de Geografia e Estatística 2010. </w:t>
      </w:r>
      <w:r>
        <w:rPr>
          <w:b/>
          <w:highlight w:val="white"/>
        </w:rPr>
        <w:t>Censo Demográfico</w:t>
      </w:r>
      <w:r>
        <w:rPr>
          <w:highlight w:val="white"/>
        </w:rPr>
        <w:t xml:space="preserve">. Rio de Janeiro: IBGE, 2010. Disponível: http://www.censo2010.ibge.gov.br. Acesso em: </w:t>
      </w:r>
      <w:proofErr w:type="gramStart"/>
      <w:r>
        <w:rPr>
          <w:highlight w:val="white"/>
        </w:rPr>
        <w:t>Fev.</w:t>
      </w:r>
      <w:proofErr w:type="gramEnd"/>
      <w:r>
        <w:rPr>
          <w:highlight w:val="white"/>
        </w:rPr>
        <w:t xml:space="preserve"> 2021</w:t>
      </w:r>
    </w:p>
    <w:p w:rsidR="00CA3CF8" w:rsidRDefault="00CA3CF8" w:rsidP="009C200C">
      <w:pPr>
        <w:rPr>
          <w:highlight w:val="white"/>
        </w:rPr>
      </w:pPr>
    </w:p>
    <w:p w:rsidR="00BD78AF" w:rsidRDefault="00BD78AF" w:rsidP="009C200C">
      <w:pPr>
        <w:rPr>
          <w:highlight w:val="white"/>
        </w:rPr>
      </w:pPr>
      <w:r>
        <w:rPr>
          <w:highlight w:val="white"/>
        </w:rPr>
        <w:t xml:space="preserve">IBGE – Instituto Brasileiro de Geografia e Estatística. </w:t>
      </w:r>
      <w:r>
        <w:rPr>
          <w:b/>
          <w:highlight w:val="white"/>
        </w:rPr>
        <w:t>Pesquisa Nacional por Amostra de Domicílios: Segurança Alimentar 2020</w:t>
      </w:r>
      <w:r>
        <w:rPr>
          <w:highlight w:val="white"/>
        </w:rPr>
        <w:t>. Rio de Janeiro: IBGE, 2020.</w:t>
      </w:r>
    </w:p>
    <w:p w:rsidR="00CA3CF8" w:rsidRDefault="00CA3CF8" w:rsidP="009C200C">
      <w:pPr>
        <w:rPr>
          <w:highlight w:val="white"/>
        </w:rPr>
      </w:pPr>
    </w:p>
    <w:bookmarkEnd w:id="10"/>
    <w:p w:rsidR="00BD78AF" w:rsidRDefault="00BD78AF" w:rsidP="009C200C">
      <w:r>
        <w:t xml:space="preserve">LARSON, R., &amp; FARBER, </w:t>
      </w:r>
      <w:proofErr w:type="gramStart"/>
      <w:r>
        <w:t>B..</w:t>
      </w:r>
      <w:proofErr w:type="gramEnd"/>
      <w:r>
        <w:t xml:space="preserve"> </w:t>
      </w:r>
      <w:r>
        <w:rPr>
          <w:b/>
        </w:rPr>
        <w:t>Estatística Aplicada</w:t>
      </w:r>
      <w:r>
        <w:t xml:space="preserve"> (6a ed.) [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]. São Paulo: Pearson </w:t>
      </w:r>
      <w:proofErr w:type="spellStart"/>
      <w:r>
        <w:t>Education</w:t>
      </w:r>
      <w:proofErr w:type="spellEnd"/>
      <w:r>
        <w:t xml:space="preserve"> do Brasil, 2015.</w:t>
      </w:r>
    </w:p>
    <w:p w:rsidR="00BD78AF" w:rsidRDefault="00BD78AF" w:rsidP="009C200C">
      <w:pPr>
        <w:spacing w:before="240" w:after="240"/>
        <w:jc w:val="both"/>
        <w:rPr>
          <w:highlight w:val="white"/>
        </w:rPr>
      </w:pPr>
      <w:r>
        <w:rPr>
          <w:highlight w:val="white"/>
        </w:rPr>
        <w:t xml:space="preserve">MARTÍNEZ ALIER, Juan. </w:t>
      </w:r>
      <w:r>
        <w:rPr>
          <w:b/>
          <w:highlight w:val="white"/>
        </w:rPr>
        <w:t>O ecologismo dos pobres</w:t>
      </w:r>
      <w:r>
        <w:rPr>
          <w:highlight w:val="white"/>
        </w:rPr>
        <w:t xml:space="preserve">. n 125. Manágua, </w:t>
      </w:r>
      <w:proofErr w:type="spellStart"/>
      <w:r>
        <w:rPr>
          <w:highlight w:val="white"/>
        </w:rPr>
        <w:t>Micaraguá</w:t>
      </w:r>
      <w:proofErr w:type="spellEnd"/>
      <w:r>
        <w:rPr>
          <w:highlight w:val="white"/>
        </w:rPr>
        <w:t>: Revista WANI, abril 1992. p 2-42 a 50.</w:t>
      </w:r>
    </w:p>
    <w:p w:rsidR="00BD78AF" w:rsidRDefault="00BD78AF" w:rsidP="009C200C">
      <w:pPr>
        <w:spacing w:before="240" w:after="240"/>
        <w:jc w:val="both"/>
        <w:rPr>
          <w:highlight w:val="white"/>
        </w:rPr>
      </w:pPr>
      <w:r>
        <w:rPr>
          <w:highlight w:val="white"/>
        </w:rPr>
        <w:t xml:space="preserve">MEDEIROS, </w:t>
      </w:r>
      <w:proofErr w:type="spellStart"/>
      <w:r>
        <w:rPr>
          <w:highlight w:val="white"/>
        </w:rPr>
        <w:t>Cleyber</w:t>
      </w:r>
      <w:proofErr w:type="spellEnd"/>
      <w:r>
        <w:rPr>
          <w:highlight w:val="white"/>
        </w:rPr>
        <w:t xml:space="preserve"> Nascimento de; SOUZA, Marcos José Nogueira de. Metodologia Para Mapeamento da Vulnerabilidade Socioambiental: Caso do Município de Caucaia, estado do Ceará. </w:t>
      </w:r>
      <w:r>
        <w:rPr>
          <w:b/>
          <w:highlight w:val="white"/>
        </w:rPr>
        <w:t>REDE-Revista eletrônica do PRODEMA</w:t>
      </w:r>
      <w:r>
        <w:rPr>
          <w:highlight w:val="white"/>
        </w:rPr>
        <w:t>, v. 10, n. 1, 2016.</w:t>
      </w:r>
    </w:p>
    <w:p w:rsidR="00AE23A4" w:rsidRPr="00AE23A4" w:rsidRDefault="00AE23A4" w:rsidP="006B4017">
      <w:pPr>
        <w:spacing w:before="240" w:after="240"/>
        <w:rPr>
          <w:highlight w:val="white"/>
        </w:rPr>
      </w:pPr>
      <w:r w:rsidRPr="00AE23A4">
        <w:rPr>
          <w:color w:val="222222"/>
          <w:shd w:val="clear" w:color="auto" w:fill="FFFFFF"/>
        </w:rPr>
        <w:t xml:space="preserve">MIRANDA, Renan </w:t>
      </w:r>
      <w:proofErr w:type="spellStart"/>
      <w:r w:rsidRPr="00AE23A4">
        <w:rPr>
          <w:color w:val="222222"/>
          <w:shd w:val="clear" w:color="auto" w:fill="FFFFFF"/>
        </w:rPr>
        <w:t>Satiro</w:t>
      </w:r>
      <w:proofErr w:type="spellEnd"/>
      <w:r w:rsidRPr="00AE23A4">
        <w:rPr>
          <w:color w:val="222222"/>
          <w:shd w:val="clear" w:color="auto" w:fill="FFFFFF"/>
        </w:rPr>
        <w:t xml:space="preserve">; MACEDO, Magno Roberto Alves. Mapa </w:t>
      </w:r>
      <w:proofErr w:type="spellStart"/>
      <w:r w:rsidRPr="00AE23A4">
        <w:rPr>
          <w:color w:val="222222"/>
          <w:shd w:val="clear" w:color="auto" w:fill="FFFFFF"/>
        </w:rPr>
        <w:t>termo-acú</w:t>
      </w:r>
      <w:r>
        <w:rPr>
          <w:color w:val="222222"/>
          <w:shd w:val="clear" w:color="auto" w:fill="FFFFFF"/>
        </w:rPr>
        <w:t>stico</w:t>
      </w:r>
      <w:proofErr w:type="spellEnd"/>
      <w:r>
        <w:rPr>
          <w:color w:val="222222"/>
          <w:shd w:val="clear" w:color="auto" w:fill="FFFFFF"/>
        </w:rPr>
        <w:t xml:space="preserve"> da região continental de B</w:t>
      </w:r>
      <w:r w:rsidRPr="00AE23A4">
        <w:rPr>
          <w:color w:val="222222"/>
          <w:shd w:val="clear" w:color="auto" w:fill="FFFFFF"/>
        </w:rPr>
        <w:t>elém-</w:t>
      </w:r>
      <w:proofErr w:type="spellStart"/>
      <w:r w:rsidRPr="00AE23A4">
        <w:rPr>
          <w:color w:val="222222"/>
          <w:shd w:val="clear" w:color="auto" w:fill="FFFFFF"/>
        </w:rPr>
        <w:t>pa</w:t>
      </w:r>
      <w:proofErr w:type="spellEnd"/>
      <w:r w:rsidRPr="00AE23A4">
        <w:rPr>
          <w:color w:val="222222"/>
          <w:shd w:val="clear" w:color="auto" w:fill="FFFFFF"/>
        </w:rPr>
        <w:t xml:space="preserve">: </w:t>
      </w:r>
      <w:r>
        <w:rPr>
          <w:color w:val="222222"/>
          <w:shd w:val="clear" w:color="auto" w:fill="FFFFFF"/>
        </w:rPr>
        <w:t>U</w:t>
      </w:r>
      <w:r w:rsidRPr="00AE23A4">
        <w:rPr>
          <w:color w:val="222222"/>
          <w:shd w:val="clear" w:color="auto" w:fill="FFFFFF"/>
        </w:rPr>
        <w:t>m instrumento de planejamento em busca da qualidade ambiental. </w:t>
      </w:r>
      <w:r w:rsidRPr="00AE23A4">
        <w:rPr>
          <w:b/>
          <w:bCs/>
          <w:color w:val="222222"/>
          <w:shd w:val="clear" w:color="auto" w:fill="FFFFFF"/>
        </w:rPr>
        <w:t xml:space="preserve">Revista </w:t>
      </w:r>
      <w:proofErr w:type="spellStart"/>
      <w:r w:rsidRPr="00AE23A4">
        <w:rPr>
          <w:b/>
          <w:bCs/>
          <w:color w:val="222222"/>
          <w:shd w:val="clear" w:color="auto" w:fill="FFFFFF"/>
        </w:rPr>
        <w:t>GeoAmazônia</w:t>
      </w:r>
      <w:proofErr w:type="spellEnd"/>
      <w:r w:rsidRPr="00AE23A4">
        <w:rPr>
          <w:color w:val="222222"/>
          <w:shd w:val="clear" w:color="auto" w:fill="FFFFFF"/>
        </w:rPr>
        <w:t>, v. 2, n. 03, p. 85-95, 2014.</w:t>
      </w:r>
    </w:p>
    <w:p w:rsidR="00BD78AF" w:rsidRDefault="00BD78AF" w:rsidP="009C200C">
      <w:pPr>
        <w:rPr>
          <w:highlight w:val="white"/>
        </w:rPr>
      </w:pPr>
      <w:r>
        <w:rPr>
          <w:highlight w:val="white"/>
        </w:rPr>
        <w:t xml:space="preserve">MORATO, Rúbia Gomes. Análise espacial da desigualdade ambiental na Subprefeitura do Butantã, São </w:t>
      </w:r>
      <w:proofErr w:type="spellStart"/>
      <w:r>
        <w:rPr>
          <w:highlight w:val="white"/>
        </w:rPr>
        <w:t>Paulo-SP</w:t>
      </w:r>
      <w:proofErr w:type="spellEnd"/>
      <w:r>
        <w:rPr>
          <w:highlight w:val="white"/>
        </w:rPr>
        <w:t>. </w:t>
      </w:r>
      <w:proofErr w:type="spellStart"/>
      <w:r>
        <w:rPr>
          <w:b/>
          <w:highlight w:val="white"/>
        </w:rPr>
        <w:t>Hygeia</w:t>
      </w:r>
      <w:proofErr w:type="spellEnd"/>
      <w:r>
        <w:rPr>
          <w:b/>
          <w:highlight w:val="white"/>
        </w:rPr>
        <w:t>-Revista Brasileira de Geografia Médica e da Saúde</w:t>
      </w:r>
      <w:r>
        <w:rPr>
          <w:highlight w:val="white"/>
        </w:rPr>
        <w:t>, v. 3, n. 4, 2007.</w:t>
      </w:r>
    </w:p>
    <w:p w:rsidR="009C200C" w:rsidRDefault="009C200C" w:rsidP="009C200C">
      <w:pPr>
        <w:rPr>
          <w:highlight w:val="white"/>
        </w:rPr>
      </w:pPr>
    </w:p>
    <w:p w:rsidR="00BD78AF" w:rsidRDefault="00BD78AF" w:rsidP="009C200C">
      <w:pPr>
        <w:rPr>
          <w:highlight w:val="white"/>
        </w:rPr>
      </w:pPr>
      <w:r>
        <w:rPr>
          <w:highlight w:val="white"/>
        </w:rPr>
        <w:t xml:space="preserve">MORATO, Rúbia Gomes. </w:t>
      </w:r>
      <w:r>
        <w:rPr>
          <w:b/>
          <w:highlight w:val="white"/>
        </w:rPr>
        <w:t>Análise espacial e desigualdade ambiental no município de São Paulo</w:t>
      </w:r>
      <w:r>
        <w:rPr>
          <w:highlight w:val="white"/>
        </w:rPr>
        <w:t>. 2008. Tese de Doutorado. Universidade de São Paulo.</w:t>
      </w:r>
    </w:p>
    <w:p w:rsidR="00CA3CF8" w:rsidRDefault="00CA3CF8" w:rsidP="009C200C">
      <w:pPr>
        <w:rPr>
          <w:sz w:val="28"/>
          <w:szCs w:val="28"/>
          <w:highlight w:val="white"/>
        </w:rPr>
      </w:pPr>
    </w:p>
    <w:p w:rsidR="00BD78AF" w:rsidRDefault="00BD78AF" w:rsidP="009C200C">
      <w:pPr>
        <w:rPr>
          <w:highlight w:val="white"/>
        </w:rPr>
      </w:pPr>
      <w:r>
        <w:rPr>
          <w:highlight w:val="white"/>
        </w:rPr>
        <w:t>MORATO, Rúbia Gomes; MACHADO, Reinaldo Paul Pérez; MARTINES, Marcos Roberto. Mapeamento da justiça ambiental e racismo ambiental na bacia do córrego do morro do “s”, São Paulo/SP. </w:t>
      </w:r>
      <w:proofErr w:type="spellStart"/>
      <w:r>
        <w:rPr>
          <w:b/>
          <w:highlight w:val="white"/>
        </w:rPr>
        <w:t>Geoambiente</w:t>
      </w:r>
      <w:proofErr w:type="spellEnd"/>
      <w:r>
        <w:rPr>
          <w:b/>
          <w:highlight w:val="white"/>
        </w:rPr>
        <w:t xml:space="preserve"> On-Line</w:t>
      </w:r>
      <w:r>
        <w:rPr>
          <w:highlight w:val="white"/>
        </w:rPr>
        <w:t>, n. 30, 2018.</w:t>
      </w:r>
    </w:p>
    <w:p w:rsidR="00CA3CF8" w:rsidRDefault="00CA3CF8" w:rsidP="009C200C">
      <w:pPr>
        <w:rPr>
          <w:highlight w:val="white"/>
        </w:rPr>
      </w:pPr>
    </w:p>
    <w:p w:rsidR="00B21125" w:rsidRDefault="00BD78AF" w:rsidP="009C200C">
      <w:pPr>
        <w:rPr>
          <w:highlight w:val="white"/>
        </w:rPr>
      </w:pPr>
      <w:r>
        <w:rPr>
          <w:highlight w:val="white"/>
        </w:rPr>
        <w:t xml:space="preserve">MOREIRA, F. S. A.; VITORINO, M. I. RELAÇÃO de áreas verdes e temperatura da superfície para a cidade de Belém. </w:t>
      </w:r>
      <w:proofErr w:type="spellStart"/>
      <w:r>
        <w:rPr>
          <w:b/>
          <w:highlight w:val="white"/>
        </w:rPr>
        <w:t>Paper</w:t>
      </w:r>
      <w:r w:rsidR="006D5378">
        <w:rPr>
          <w:b/>
          <w:highlight w:val="white"/>
        </w:rPr>
        <w:t>s</w:t>
      </w:r>
      <w:proofErr w:type="spellEnd"/>
      <w:r>
        <w:rPr>
          <w:b/>
          <w:highlight w:val="white"/>
        </w:rPr>
        <w:t xml:space="preserve"> do </w:t>
      </w:r>
      <w:proofErr w:type="gramStart"/>
      <w:r>
        <w:rPr>
          <w:b/>
          <w:highlight w:val="white"/>
        </w:rPr>
        <w:t>NAEA</w:t>
      </w:r>
      <w:r>
        <w:rPr>
          <w:highlight w:val="white"/>
        </w:rPr>
        <w:t xml:space="preserve"> ,</w:t>
      </w:r>
      <w:proofErr w:type="gramEnd"/>
      <w:r>
        <w:rPr>
          <w:highlight w:val="white"/>
        </w:rPr>
        <w:t xml:space="preserve"> Belém-PA, v. 369, p. 1-25, </w:t>
      </w:r>
      <w:proofErr w:type="spellStart"/>
      <w:r>
        <w:rPr>
          <w:highlight w:val="white"/>
        </w:rPr>
        <w:t>Jun</w:t>
      </w:r>
      <w:proofErr w:type="spellEnd"/>
      <w:r>
        <w:rPr>
          <w:highlight w:val="white"/>
        </w:rPr>
        <w:t>/2017.</w:t>
      </w:r>
    </w:p>
    <w:p w:rsidR="00B21125" w:rsidRDefault="00B21125" w:rsidP="00B21125">
      <w:pPr>
        <w:spacing w:before="240" w:after="240"/>
        <w:rPr>
          <w:highlight w:val="white"/>
        </w:rPr>
      </w:pPr>
      <w:bookmarkStart w:id="11" w:name="_Hlk68542132"/>
      <w:r>
        <w:rPr>
          <w:highlight w:val="white"/>
        </w:rPr>
        <w:t xml:space="preserve">MUCELIN, Carlos Alberto; BELLINI, Marta. Lixo e impactos ambientais perceptíveis no ecossistema urbano. </w:t>
      </w:r>
      <w:r>
        <w:rPr>
          <w:b/>
          <w:highlight w:val="white"/>
        </w:rPr>
        <w:t>Sociedade &amp; natureza</w:t>
      </w:r>
      <w:r>
        <w:rPr>
          <w:highlight w:val="white"/>
        </w:rPr>
        <w:t>, v. 20, n. 1, p. 111-124, 2008.</w:t>
      </w:r>
      <w:bookmarkEnd w:id="11"/>
    </w:p>
    <w:p w:rsidR="00B21125" w:rsidRDefault="00BD78AF" w:rsidP="009C200C">
      <w:pPr>
        <w:spacing w:before="240" w:after="240"/>
        <w:jc w:val="both"/>
        <w:rPr>
          <w:highlight w:val="white"/>
        </w:rPr>
      </w:pPr>
      <w:r>
        <w:rPr>
          <w:highlight w:val="white"/>
        </w:rPr>
        <w:t>OLIVEIRA, P. C.; ANDRADE, A. R.; HABERLAND, N. T.; POTTKER, G. S.; SILVIA, F. C. B. A importância das áreas verdes em uma cidade de pequeno porte: estudo de caso na cidade de Irati-PR.</w:t>
      </w:r>
      <w:r>
        <w:rPr>
          <w:b/>
          <w:highlight w:val="white"/>
        </w:rPr>
        <w:t xml:space="preserve"> Revista da Sociedade Brasileira de Arborização Urbana,</w:t>
      </w:r>
      <w:r>
        <w:rPr>
          <w:highlight w:val="white"/>
        </w:rPr>
        <w:t xml:space="preserve"> v. 8, n. 1, p. 89-99, 2013.</w:t>
      </w:r>
    </w:p>
    <w:p w:rsidR="00BD78AF" w:rsidRDefault="00BD78AF" w:rsidP="009C200C">
      <w:pPr>
        <w:spacing w:before="240" w:after="240"/>
        <w:jc w:val="both"/>
        <w:rPr>
          <w:highlight w:val="white"/>
        </w:rPr>
      </w:pPr>
      <w:r>
        <w:rPr>
          <w:highlight w:val="white"/>
        </w:rPr>
        <w:t xml:space="preserve">OLIVEIRA, Reinaldo José. A segregação racial e o pensamento urbanístico no Brasil. </w:t>
      </w:r>
      <w:r>
        <w:rPr>
          <w:b/>
          <w:highlight w:val="white"/>
        </w:rPr>
        <w:t>Revista Políticas Públicas &amp; Cidades-2359-1552</w:t>
      </w:r>
      <w:r>
        <w:rPr>
          <w:highlight w:val="white"/>
        </w:rPr>
        <w:t>, v. 9, n. 1, 2020.</w:t>
      </w:r>
    </w:p>
    <w:p w:rsidR="00BD78AF" w:rsidRDefault="00BD78AF" w:rsidP="009C200C">
      <w:pPr>
        <w:spacing w:before="240" w:after="240"/>
        <w:jc w:val="both"/>
        <w:rPr>
          <w:highlight w:val="white"/>
        </w:rPr>
      </w:pPr>
      <w:bookmarkStart w:id="12" w:name="_Hlk68542123"/>
      <w:r>
        <w:rPr>
          <w:highlight w:val="white"/>
        </w:rPr>
        <w:lastRenderedPageBreak/>
        <w:t xml:space="preserve">TAVARES, Maria </w:t>
      </w:r>
      <w:proofErr w:type="spellStart"/>
      <w:r>
        <w:rPr>
          <w:highlight w:val="white"/>
        </w:rPr>
        <w:t>Goretti</w:t>
      </w:r>
      <w:proofErr w:type="spellEnd"/>
      <w:r>
        <w:rPr>
          <w:highlight w:val="white"/>
        </w:rPr>
        <w:t xml:space="preserve"> da Costa; COELHO, Maria Célia Nunes; MACHADO, Lia Osório. </w:t>
      </w:r>
      <w:r>
        <w:rPr>
          <w:b/>
          <w:highlight w:val="white"/>
        </w:rPr>
        <w:t>Redes de distribuição de energia e desenvolvimento regional na Amazônia Oriental.</w:t>
      </w:r>
      <w:r>
        <w:rPr>
          <w:highlight w:val="white"/>
        </w:rPr>
        <w:t xml:space="preserve"> 2006.</w:t>
      </w:r>
    </w:p>
    <w:p w:rsidR="00BD78AF" w:rsidRDefault="00BD78AF" w:rsidP="009C200C">
      <w:pPr>
        <w:spacing w:before="240" w:after="240"/>
        <w:jc w:val="both"/>
        <w:rPr>
          <w:highlight w:val="white"/>
        </w:rPr>
      </w:pPr>
      <w:bookmarkStart w:id="13" w:name="_Hlk68542094"/>
      <w:bookmarkEnd w:id="12"/>
      <w:r>
        <w:rPr>
          <w:highlight w:val="white"/>
        </w:rPr>
        <w:t xml:space="preserve">TRINDADE JÚNIOR, Saint-Clair Cordeiro da. Formação metropolitana de Belém (1960-1997). </w:t>
      </w:r>
      <w:r>
        <w:rPr>
          <w:b/>
          <w:highlight w:val="white"/>
        </w:rPr>
        <w:t xml:space="preserve">Belém: </w:t>
      </w:r>
      <w:proofErr w:type="spellStart"/>
      <w:r>
        <w:rPr>
          <w:b/>
          <w:highlight w:val="white"/>
        </w:rPr>
        <w:t>Paka</w:t>
      </w:r>
      <w:proofErr w:type="spellEnd"/>
      <w:r>
        <w:rPr>
          <w:b/>
          <w:highlight w:val="white"/>
        </w:rPr>
        <w:t>-Tatu</w:t>
      </w:r>
      <w:r>
        <w:rPr>
          <w:highlight w:val="white"/>
        </w:rPr>
        <w:t>, 2016.</w:t>
      </w:r>
    </w:p>
    <w:bookmarkEnd w:id="13"/>
    <w:p w:rsidR="00BD78AF" w:rsidRDefault="00BD78AF" w:rsidP="00BD78A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</w:p>
    <w:p w:rsidR="00971142" w:rsidRDefault="00FD1542">
      <w:pPr>
        <w:spacing w:after="120"/>
        <w:jc w:val="both"/>
      </w:pPr>
      <w:r>
        <w:t xml:space="preserve"> </w:t>
      </w:r>
    </w:p>
    <w:sectPr w:rsidR="00971142">
      <w:headerReference w:type="default" r:id="rId21"/>
      <w:footerReference w:type="default" r:id="rId22"/>
      <w:headerReference w:type="first" r:id="rId23"/>
      <w:footerReference w:type="first" r:id="rId24"/>
      <w:pgSz w:w="11907" w:h="16840"/>
      <w:pgMar w:top="1134" w:right="1418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B2" w:rsidRDefault="00683EB2">
      <w:r>
        <w:separator/>
      </w:r>
    </w:p>
  </w:endnote>
  <w:endnote w:type="continuationSeparator" w:id="0">
    <w:p w:rsidR="00683EB2" w:rsidRDefault="0068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42" w:rsidRDefault="009711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8558" w:type="dxa"/>
      <w:jc w:val="center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32"/>
      <w:gridCol w:w="1275"/>
      <w:gridCol w:w="1276"/>
      <w:gridCol w:w="1276"/>
      <w:gridCol w:w="1198"/>
      <w:gridCol w:w="1301"/>
    </w:tblGrid>
    <w:tr w:rsidR="00971142">
      <w:trPr>
        <w:jc w:val="center"/>
      </w:trPr>
      <w:tc>
        <w:tcPr>
          <w:tcW w:w="2232" w:type="dxa"/>
          <w:tcBorders>
            <w:top w:val="single" w:sz="4" w:space="0" w:color="000000"/>
            <w:bottom w:val="nil"/>
          </w:tcBorders>
          <w:shd w:val="clear" w:color="auto" w:fill="FFFFF5"/>
          <w:vAlign w:val="bottom"/>
        </w:tcPr>
        <w:p w:rsidR="00971142" w:rsidRDefault="00FD15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-223" w:firstLine="223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Revista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GeoAmazônia</w:t>
          </w:r>
          <w:proofErr w:type="spellEnd"/>
        </w:p>
      </w:tc>
      <w:tc>
        <w:tcPr>
          <w:tcW w:w="1275" w:type="dxa"/>
          <w:shd w:val="clear" w:color="auto" w:fill="FFFFF5"/>
          <w:vAlign w:val="bottom"/>
        </w:tcPr>
        <w:p w:rsidR="00971142" w:rsidRDefault="00FD154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Belém</w:t>
          </w:r>
        </w:p>
      </w:tc>
      <w:tc>
        <w:tcPr>
          <w:tcW w:w="1276" w:type="dxa"/>
          <w:shd w:val="clear" w:color="auto" w:fill="FFFFF5"/>
          <w:vAlign w:val="bottom"/>
        </w:tcPr>
        <w:p w:rsidR="00971142" w:rsidRDefault="00FD154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v. 00, n. 00</w:t>
          </w:r>
        </w:p>
      </w:tc>
      <w:tc>
        <w:tcPr>
          <w:tcW w:w="1276" w:type="dxa"/>
          <w:shd w:val="clear" w:color="auto" w:fill="FFFFF5"/>
          <w:vAlign w:val="bottom"/>
        </w:tcPr>
        <w:p w:rsidR="00971142" w:rsidRDefault="00FD154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20"/>
              <w:szCs w:val="20"/>
            </w:rPr>
            <w:t>p. 00–00</w:t>
          </w:r>
        </w:p>
      </w:tc>
      <w:tc>
        <w:tcPr>
          <w:tcW w:w="1198" w:type="dxa"/>
          <w:shd w:val="clear" w:color="auto" w:fill="FFFFF5"/>
          <w:vAlign w:val="bottom"/>
        </w:tcPr>
        <w:p w:rsidR="00971142" w:rsidRDefault="00FD154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ano</w:t>
          </w:r>
        </w:p>
      </w:tc>
      <w:tc>
        <w:tcPr>
          <w:tcW w:w="1301" w:type="dxa"/>
          <w:shd w:val="clear" w:color="auto" w:fill="FFFFF5"/>
          <w:vAlign w:val="bottom"/>
        </w:tcPr>
        <w:p w:rsidR="00971142" w:rsidRDefault="00FD154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ab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6D744A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17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:rsidR="00971142" w:rsidRDefault="009711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42" w:rsidRDefault="009711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8558" w:type="dxa"/>
      <w:jc w:val="center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32"/>
      <w:gridCol w:w="1275"/>
      <w:gridCol w:w="1276"/>
      <w:gridCol w:w="1276"/>
      <w:gridCol w:w="1198"/>
      <w:gridCol w:w="1301"/>
    </w:tblGrid>
    <w:tr w:rsidR="00971142">
      <w:trPr>
        <w:jc w:val="center"/>
      </w:trPr>
      <w:tc>
        <w:tcPr>
          <w:tcW w:w="2232" w:type="dxa"/>
          <w:tcBorders>
            <w:top w:val="single" w:sz="4" w:space="0" w:color="000000"/>
            <w:bottom w:val="nil"/>
          </w:tcBorders>
          <w:shd w:val="clear" w:color="auto" w:fill="FFFFF5"/>
          <w:vAlign w:val="bottom"/>
        </w:tcPr>
        <w:p w:rsidR="00971142" w:rsidRDefault="00FD15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-223" w:firstLine="223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Revista </w:t>
          </w:r>
          <w:proofErr w:type="spellStart"/>
          <w:r>
            <w:rPr>
              <w:color w:val="000000"/>
              <w:sz w:val="20"/>
              <w:szCs w:val="20"/>
            </w:rPr>
            <w:t>GeoAmazônia</w:t>
          </w:r>
          <w:proofErr w:type="spellEnd"/>
        </w:p>
      </w:tc>
      <w:tc>
        <w:tcPr>
          <w:tcW w:w="1275" w:type="dxa"/>
          <w:shd w:val="clear" w:color="auto" w:fill="FFFFF5"/>
          <w:vAlign w:val="bottom"/>
        </w:tcPr>
        <w:p w:rsidR="00971142" w:rsidRDefault="00FD154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Belém</w:t>
          </w:r>
        </w:p>
      </w:tc>
      <w:tc>
        <w:tcPr>
          <w:tcW w:w="1276" w:type="dxa"/>
          <w:shd w:val="clear" w:color="auto" w:fill="FFFFF5"/>
          <w:vAlign w:val="bottom"/>
        </w:tcPr>
        <w:p w:rsidR="00971142" w:rsidRDefault="00FD154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v. 00, n. 1</w:t>
          </w:r>
        </w:p>
      </w:tc>
      <w:tc>
        <w:tcPr>
          <w:tcW w:w="1276" w:type="dxa"/>
          <w:shd w:val="clear" w:color="auto" w:fill="FFFFF5"/>
          <w:vAlign w:val="bottom"/>
        </w:tcPr>
        <w:p w:rsidR="00971142" w:rsidRDefault="00FD154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p. 00–00</w:t>
          </w:r>
        </w:p>
      </w:tc>
      <w:tc>
        <w:tcPr>
          <w:tcW w:w="1198" w:type="dxa"/>
          <w:shd w:val="clear" w:color="auto" w:fill="FFFFF5"/>
          <w:vAlign w:val="bottom"/>
        </w:tcPr>
        <w:p w:rsidR="00971142" w:rsidRDefault="00FD154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Ano </w:t>
          </w:r>
        </w:p>
      </w:tc>
      <w:tc>
        <w:tcPr>
          <w:tcW w:w="1301" w:type="dxa"/>
          <w:shd w:val="clear" w:color="auto" w:fill="FFFFF5"/>
          <w:vAlign w:val="bottom"/>
        </w:tcPr>
        <w:p w:rsidR="00971142" w:rsidRDefault="00FD154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Página </w:t>
          </w:r>
          <w:r>
            <w:rPr>
              <w:color w:val="000000"/>
              <w:sz w:val="20"/>
              <w:szCs w:val="20"/>
            </w:rPr>
            <w:tab/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6D744A">
            <w:rPr>
              <w:noProof/>
              <w:color w:val="000000"/>
              <w:sz w:val="20"/>
              <w:szCs w:val="20"/>
            </w:rPr>
            <w:t>1</w: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</w:tr>
  </w:tbl>
  <w:p w:rsidR="00971142" w:rsidRDefault="009711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B2" w:rsidRDefault="00683EB2">
      <w:r>
        <w:separator/>
      </w:r>
    </w:p>
  </w:footnote>
  <w:footnote w:type="continuationSeparator" w:id="0">
    <w:p w:rsidR="00683EB2" w:rsidRDefault="00683EB2">
      <w:r>
        <w:continuationSeparator/>
      </w:r>
    </w:p>
  </w:footnote>
  <w:footnote w:id="1">
    <w:p w:rsidR="00BB290E" w:rsidRDefault="00BB290E" w:rsidP="005D2984">
      <w:pPr>
        <w:pStyle w:val="Textodenotaderodap"/>
        <w:jc w:val="both"/>
      </w:pPr>
      <w:r>
        <w:rPr>
          <w:rStyle w:val="Refdenotaderodap"/>
        </w:rPr>
        <w:footnoteRef/>
      </w:r>
      <w:r w:rsidR="009879A4">
        <w:t xml:space="preserve"> Embora diversos autores apontam diferenças no termo </w:t>
      </w:r>
      <w:r w:rsidR="005C2A92">
        <w:t xml:space="preserve">étnico-racial, na presente pesquisa se utilizou </w:t>
      </w:r>
      <w:r w:rsidR="007D38B5">
        <w:t>a</w:t>
      </w:r>
      <w:r w:rsidR="005C2A92">
        <w:t xml:space="preserve"> definição de acordo com</w:t>
      </w:r>
      <w:r w:rsidR="00456926" w:rsidRPr="00456926">
        <w:t xml:space="preserve"> </w:t>
      </w:r>
      <w:r w:rsidR="00456926">
        <w:t>as Diretrizes Curriculares Nacionais para a Educação das Relações Étnico-Raciais e para o Ensino de História e Cultura Afro-Brasileira e Africana</w:t>
      </w:r>
      <w:r w:rsidR="005D2984">
        <w:t xml:space="preserve"> (</w:t>
      </w:r>
      <w:r w:rsidR="005D2984" w:rsidRPr="009879A4">
        <w:t>2</w:t>
      </w:r>
      <w:r w:rsidR="005D2984">
        <w:t>004)</w:t>
      </w:r>
      <w:r w:rsidR="005C2A92">
        <w:t xml:space="preserve">: </w:t>
      </w:r>
      <w:r w:rsidR="005D2984">
        <w:t>“</w:t>
      </w:r>
      <w:r w:rsidR="00456926">
        <w:t xml:space="preserve">cidadãos </w:t>
      </w:r>
      <w:r w:rsidR="007D38B5">
        <w:t>que possuem</w:t>
      </w:r>
      <w:r w:rsidR="00456926">
        <w:t xml:space="preserve"> identificação ao seu pertencimento étnico-racial</w:t>
      </w:r>
      <w:r w:rsidR="00456926" w:rsidRPr="00456926">
        <w:t xml:space="preserve"> </w:t>
      </w:r>
      <w:r w:rsidR="00456926">
        <w:t xml:space="preserve">– </w:t>
      </w:r>
      <w:r w:rsidR="005C2A92">
        <w:t>descendentes de africanos, povos indígenas, descendentes de europeus, e de asiáticos</w:t>
      </w:r>
      <w:r w:rsidR="005D2984">
        <w:t>”</w:t>
      </w:r>
      <w:r w:rsidR="005C2A92">
        <w:t>.</w:t>
      </w:r>
      <w:r w:rsidR="005D2984">
        <w:t xml:space="preserve"> Disponível em:</w:t>
      </w:r>
      <w:hyperlink r:id="rId1" w:history="1">
        <w:r w:rsidR="005D2984" w:rsidRPr="005D2984">
          <w:rPr>
            <w:rStyle w:val="Hyperlink"/>
          </w:rPr>
          <w:t>https://www.gov.br/inep/pt-br/centrais-de-conteudo/acervo-linha-editorial/publicacoes-diversas/temas-interdisciplinares/diretrizes-curriculares-nacionais-para-a-educacao-das-relacoes-etnico-raciais-e-para-o-ensino-de-historia-e-cultura-afro-brasileira-e-africana</w:t>
        </w:r>
      </w:hyperlink>
      <w:r w:rsidR="005D2984">
        <w:t xml:space="preserve">. Acesso em 14 jun. </w:t>
      </w:r>
      <w:r w:rsidR="005D2984" w:rsidRPr="009879A4">
        <w:t>2</w:t>
      </w:r>
      <w:r w:rsidR="005D2984">
        <w:t>0</w:t>
      </w:r>
      <w:r w:rsidR="005D2984" w:rsidRPr="009879A4">
        <w:t>2</w:t>
      </w:r>
      <w:r w:rsidR="005D2984">
        <w:t>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42" w:rsidRDefault="009711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91" w:type="dxa"/>
      <w:jc w:val="center"/>
      <w:tblInd w:w="0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591"/>
    </w:tblGrid>
    <w:tr w:rsidR="00971142">
      <w:trPr>
        <w:trHeight w:val="564"/>
        <w:jc w:val="center"/>
      </w:trPr>
      <w:tc>
        <w:tcPr>
          <w:tcW w:w="8591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:rsidR="00971142" w:rsidRDefault="00FD1542">
          <w:pPr>
            <w:tabs>
              <w:tab w:val="left" w:pos="3959"/>
            </w:tabs>
            <w:ind w:left="89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Título do artigo em Times New Roman, tamanho 9</w:t>
          </w:r>
        </w:p>
      </w:tc>
    </w:tr>
  </w:tbl>
  <w:p w:rsidR="00971142" w:rsidRDefault="009711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42" w:rsidRDefault="009711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  <w:tbl>
    <w:tblPr>
      <w:tblStyle w:val="a"/>
      <w:tblW w:w="9071" w:type="dxa"/>
      <w:tblInd w:w="0" w:type="dxa"/>
      <w:tblLayout w:type="fixed"/>
      <w:tblLook w:val="0600" w:firstRow="0" w:lastRow="0" w:firstColumn="0" w:lastColumn="0" w:noHBand="1" w:noVBand="1"/>
    </w:tblPr>
    <w:tblGrid>
      <w:gridCol w:w="4535"/>
      <w:gridCol w:w="4536"/>
    </w:tblGrid>
    <w:tr w:rsidR="00971142">
      <w:tc>
        <w:tcPr>
          <w:tcW w:w="4535" w:type="dxa"/>
          <w:shd w:val="clear" w:color="auto" w:fill="auto"/>
          <w:tcMar>
            <w:top w:w="-13" w:type="dxa"/>
            <w:left w:w="-13" w:type="dxa"/>
            <w:bottom w:w="-13" w:type="dxa"/>
            <w:right w:w="-13" w:type="dxa"/>
          </w:tcMar>
        </w:tcPr>
        <w:p w:rsidR="00971142" w:rsidRDefault="00FD15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noProof/>
              <w:lang w:eastAsia="pt-BR"/>
            </w:rPr>
            <w:drawing>
              <wp:inline distT="114300" distB="114300" distL="114300" distR="114300">
                <wp:extent cx="1410874" cy="350852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0874" cy="3508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tcMar>
            <w:top w:w="-13" w:type="dxa"/>
            <w:left w:w="-13" w:type="dxa"/>
            <w:bottom w:w="-13" w:type="dxa"/>
            <w:right w:w="-13" w:type="dxa"/>
          </w:tcMar>
        </w:tcPr>
        <w:p w:rsidR="00971142" w:rsidRDefault="00FD15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</w:pPr>
          <w:r>
            <w:rPr>
              <w:noProof/>
              <w:lang w:eastAsia="pt-BR"/>
            </w:rPr>
            <w:drawing>
              <wp:inline distT="114300" distB="114300" distL="114300" distR="114300">
                <wp:extent cx="915739" cy="408002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739" cy="40800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71142">
      <w:tc>
        <w:tcPr>
          <w:tcW w:w="4535" w:type="dxa"/>
          <w:shd w:val="clear" w:color="auto" w:fill="auto"/>
          <w:tcMar>
            <w:top w:w="-13" w:type="dxa"/>
            <w:left w:w="-13" w:type="dxa"/>
            <w:bottom w:w="-13" w:type="dxa"/>
            <w:right w:w="-13" w:type="dxa"/>
          </w:tcMar>
        </w:tcPr>
        <w:p w:rsidR="00971142" w:rsidRDefault="00FD15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Revista </w:t>
          </w:r>
          <w:proofErr w:type="spellStart"/>
          <w:r>
            <w:rPr>
              <w:sz w:val="20"/>
              <w:szCs w:val="20"/>
            </w:rPr>
            <w:t>GeoAmazônia</w:t>
          </w:r>
          <w:proofErr w:type="spellEnd"/>
          <w:r>
            <w:rPr>
              <w:sz w:val="20"/>
              <w:szCs w:val="20"/>
            </w:rPr>
            <w:t xml:space="preserve"> </w:t>
          </w:r>
        </w:p>
      </w:tc>
      <w:tc>
        <w:tcPr>
          <w:tcW w:w="4535" w:type="dxa"/>
          <w:shd w:val="clear" w:color="auto" w:fill="auto"/>
          <w:tcMar>
            <w:top w:w="-13" w:type="dxa"/>
            <w:left w:w="-13" w:type="dxa"/>
            <w:bottom w:w="-13" w:type="dxa"/>
            <w:right w:w="-13" w:type="dxa"/>
          </w:tcMar>
        </w:tcPr>
        <w:p w:rsidR="00971142" w:rsidRDefault="00FD15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Universidade Federal do Pará</w:t>
          </w:r>
        </w:p>
      </w:tc>
    </w:tr>
    <w:tr w:rsidR="00971142">
      <w:tc>
        <w:tcPr>
          <w:tcW w:w="4535" w:type="dxa"/>
          <w:shd w:val="clear" w:color="auto" w:fill="auto"/>
          <w:tcMar>
            <w:top w:w="-13" w:type="dxa"/>
            <w:left w:w="-13" w:type="dxa"/>
            <w:bottom w:w="-13" w:type="dxa"/>
            <w:right w:w="-13" w:type="dxa"/>
          </w:tcMar>
        </w:tcPr>
        <w:p w:rsidR="00971142" w:rsidRDefault="00683E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0"/>
              <w:szCs w:val="20"/>
            </w:rPr>
          </w:pPr>
          <w:hyperlink r:id="rId3">
            <w:r w:rsidR="00FD1542">
              <w:rPr>
                <w:color w:val="1155CC"/>
                <w:sz w:val="20"/>
                <w:szCs w:val="20"/>
                <w:u w:val="single"/>
              </w:rPr>
              <w:t>https://periodicos.ufpa.br/index.php/geoamazonia</w:t>
            </w:r>
          </w:hyperlink>
        </w:p>
      </w:tc>
      <w:tc>
        <w:tcPr>
          <w:tcW w:w="4535" w:type="dxa"/>
          <w:shd w:val="clear" w:color="auto" w:fill="auto"/>
          <w:tcMar>
            <w:top w:w="-13" w:type="dxa"/>
            <w:left w:w="-13" w:type="dxa"/>
            <w:bottom w:w="-13" w:type="dxa"/>
            <w:right w:w="-13" w:type="dxa"/>
          </w:tcMar>
        </w:tcPr>
        <w:p w:rsidR="00971142" w:rsidRDefault="00FD15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Programa de Pós-graduação em Geografia</w:t>
          </w:r>
        </w:p>
      </w:tc>
    </w:tr>
    <w:tr w:rsidR="00971142">
      <w:tc>
        <w:tcPr>
          <w:tcW w:w="4535" w:type="dxa"/>
          <w:shd w:val="clear" w:color="auto" w:fill="auto"/>
          <w:tcMar>
            <w:top w:w="-13" w:type="dxa"/>
            <w:left w:w="-13" w:type="dxa"/>
            <w:bottom w:w="-13" w:type="dxa"/>
            <w:right w:w="-13" w:type="dxa"/>
          </w:tcMar>
        </w:tcPr>
        <w:p w:rsidR="00971142" w:rsidRDefault="00FD15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eISSN</w:t>
          </w:r>
          <w:proofErr w:type="spellEnd"/>
          <w:r>
            <w:rPr>
              <w:sz w:val="20"/>
              <w:szCs w:val="20"/>
            </w:rPr>
            <w:t>: 2358-1778</w:t>
          </w:r>
        </w:p>
      </w:tc>
      <w:tc>
        <w:tcPr>
          <w:tcW w:w="4535" w:type="dxa"/>
          <w:shd w:val="clear" w:color="auto" w:fill="auto"/>
          <w:tcMar>
            <w:top w:w="-13" w:type="dxa"/>
            <w:left w:w="-13" w:type="dxa"/>
            <w:bottom w:w="-13" w:type="dxa"/>
            <w:right w:w="-13" w:type="dxa"/>
          </w:tcMar>
        </w:tcPr>
        <w:p w:rsidR="00971142" w:rsidRDefault="009711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0"/>
              <w:szCs w:val="20"/>
            </w:rPr>
          </w:pPr>
        </w:p>
      </w:tc>
    </w:tr>
  </w:tbl>
  <w:p w:rsidR="00971142" w:rsidRDefault="009711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12E35"/>
    <w:multiLevelType w:val="multilevel"/>
    <w:tmpl w:val="DC9E3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D4284F"/>
    <w:multiLevelType w:val="multilevel"/>
    <w:tmpl w:val="227A20F8"/>
    <w:lvl w:ilvl="0">
      <w:start w:val="1"/>
      <w:numFmt w:val="decimal"/>
      <w:lvlText w:val="%1."/>
      <w:lvlJc w:val="left"/>
      <w:pPr>
        <w:ind w:left="1087" w:hanging="360"/>
      </w:pPr>
    </w:lvl>
    <w:lvl w:ilvl="1">
      <w:start w:val="1"/>
      <w:numFmt w:val="lowerLetter"/>
      <w:lvlText w:val="%2."/>
      <w:lvlJc w:val="left"/>
      <w:pPr>
        <w:ind w:left="1807" w:hanging="360"/>
      </w:pPr>
    </w:lvl>
    <w:lvl w:ilvl="2">
      <w:start w:val="1"/>
      <w:numFmt w:val="lowerRoman"/>
      <w:lvlText w:val="%3."/>
      <w:lvlJc w:val="right"/>
      <w:pPr>
        <w:ind w:left="2527" w:hanging="180"/>
      </w:pPr>
    </w:lvl>
    <w:lvl w:ilvl="3">
      <w:start w:val="1"/>
      <w:numFmt w:val="decimal"/>
      <w:lvlText w:val="%4."/>
      <w:lvlJc w:val="left"/>
      <w:pPr>
        <w:ind w:left="3247" w:hanging="360"/>
      </w:pPr>
    </w:lvl>
    <w:lvl w:ilvl="4">
      <w:start w:val="1"/>
      <w:numFmt w:val="lowerLetter"/>
      <w:lvlText w:val="%5."/>
      <w:lvlJc w:val="left"/>
      <w:pPr>
        <w:ind w:left="3967" w:hanging="360"/>
      </w:pPr>
    </w:lvl>
    <w:lvl w:ilvl="5">
      <w:start w:val="1"/>
      <w:numFmt w:val="lowerRoman"/>
      <w:lvlText w:val="%6."/>
      <w:lvlJc w:val="right"/>
      <w:pPr>
        <w:ind w:left="4687" w:hanging="180"/>
      </w:pPr>
    </w:lvl>
    <w:lvl w:ilvl="6">
      <w:start w:val="1"/>
      <w:numFmt w:val="decimal"/>
      <w:lvlText w:val="%7."/>
      <w:lvlJc w:val="left"/>
      <w:pPr>
        <w:ind w:left="5407" w:hanging="360"/>
      </w:pPr>
    </w:lvl>
    <w:lvl w:ilvl="7">
      <w:start w:val="1"/>
      <w:numFmt w:val="lowerLetter"/>
      <w:lvlText w:val="%8."/>
      <w:lvlJc w:val="left"/>
      <w:pPr>
        <w:ind w:left="6127" w:hanging="360"/>
      </w:pPr>
    </w:lvl>
    <w:lvl w:ilvl="8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42"/>
    <w:rsid w:val="00070147"/>
    <w:rsid w:val="00092798"/>
    <w:rsid w:val="000F1DA9"/>
    <w:rsid w:val="0010406D"/>
    <w:rsid w:val="00117D0C"/>
    <w:rsid w:val="00120F41"/>
    <w:rsid w:val="00134A99"/>
    <w:rsid w:val="00162260"/>
    <w:rsid w:val="001A2984"/>
    <w:rsid w:val="001D11D6"/>
    <w:rsid w:val="0020382A"/>
    <w:rsid w:val="00210B8D"/>
    <w:rsid w:val="00261214"/>
    <w:rsid w:val="00283564"/>
    <w:rsid w:val="0029236B"/>
    <w:rsid w:val="00296309"/>
    <w:rsid w:val="002A1AC3"/>
    <w:rsid w:val="002D2AC2"/>
    <w:rsid w:val="00321EB5"/>
    <w:rsid w:val="003B3101"/>
    <w:rsid w:val="00425208"/>
    <w:rsid w:val="00456926"/>
    <w:rsid w:val="00456F65"/>
    <w:rsid w:val="00466A77"/>
    <w:rsid w:val="00476CFE"/>
    <w:rsid w:val="00491298"/>
    <w:rsid w:val="00491C0C"/>
    <w:rsid w:val="00582D81"/>
    <w:rsid w:val="005C2A92"/>
    <w:rsid w:val="005D2984"/>
    <w:rsid w:val="005F7254"/>
    <w:rsid w:val="00646459"/>
    <w:rsid w:val="006610ED"/>
    <w:rsid w:val="00683EB2"/>
    <w:rsid w:val="006A6F05"/>
    <w:rsid w:val="006B4017"/>
    <w:rsid w:val="006D5378"/>
    <w:rsid w:val="006D744A"/>
    <w:rsid w:val="006F536D"/>
    <w:rsid w:val="00713F45"/>
    <w:rsid w:val="00725781"/>
    <w:rsid w:val="00730355"/>
    <w:rsid w:val="00780897"/>
    <w:rsid w:val="007D38B5"/>
    <w:rsid w:val="00820665"/>
    <w:rsid w:val="008A273D"/>
    <w:rsid w:val="008C3E46"/>
    <w:rsid w:val="0091638B"/>
    <w:rsid w:val="00922FBD"/>
    <w:rsid w:val="00962D2E"/>
    <w:rsid w:val="00971142"/>
    <w:rsid w:val="009879A4"/>
    <w:rsid w:val="009C200C"/>
    <w:rsid w:val="00A318E1"/>
    <w:rsid w:val="00A3589A"/>
    <w:rsid w:val="00A86662"/>
    <w:rsid w:val="00A915BE"/>
    <w:rsid w:val="00A9766E"/>
    <w:rsid w:val="00A97975"/>
    <w:rsid w:val="00AC42D5"/>
    <w:rsid w:val="00AE23A4"/>
    <w:rsid w:val="00B12590"/>
    <w:rsid w:val="00B140D5"/>
    <w:rsid w:val="00B21125"/>
    <w:rsid w:val="00B224EA"/>
    <w:rsid w:val="00B7449E"/>
    <w:rsid w:val="00BA3AB0"/>
    <w:rsid w:val="00BB290E"/>
    <w:rsid w:val="00BC4261"/>
    <w:rsid w:val="00BD78AF"/>
    <w:rsid w:val="00BE1AB0"/>
    <w:rsid w:val="00C03043"/>
    <w:rsid w:val="00C76510"/>
    <w:rsid w:val="00CA3CF8"/>
    <w:rsid w:val="00CA6F37"/>
    <w:rsid w:val="00CD1F3A"/>
    <w:rsid w:val="00D43290"/>
    <w:rsid w:val="00D51C51"/>
    <w:rsid w:val="00D75ACD"/>
    <w:rsid w:val="00DE28E5"/>
    <w:rsid w:val="00E35FF7"/>
    <w:rsid w:val="00E45712"/>
    <w:rsid w:val="00E67C4B"/>
    <w:rsid w:val="00E84E1A"/>
    <w:rsid w:val="00EB474F"/>
    <w:rsid w:val="00EF182A"/>
    <w:rsid w:val="00FD1542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2A1873-667A-4900-8FA7-70F3DBBF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F3C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A5F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tesuperior-zdoformulrio">
    <w:name w:val="HTML Top of Form"/>
    <w:basedOn w:val="Normal"/>
    <w:next w:val="Normal"/>
    <w:hidden/>
    <w:rsid w:val="004A5F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rsid w:val="004A5F48"/>
    <w:rPr>
      <w:color w:val="0000FF"/>
      <w:u w:val="single"/>
    </w:rPr>
  </w:style>
  <w:style w:type="paragraph" w:customStyle="1" w:styleId="resumo">
    <w:name w:val="resumo"/>
    <w:basedOn w:val="Normal"/>
    <w:rsid w:val="004A5F48"/>
    <w:pPr>
      <w:spacing w:before="100" w:beforeAutospacing="1" w:after="100" w:afterAutospacing="1"/>
    </w:pPr>
  </w:style>
  <w:style w:type="paragraph" w:styleId="Parteinferiordoformulrio">
    <w:name w:val="HTML Bottom of Form"/>
    <w:basedOn w:val="Normal"/>
    <w:next w:val="Normal"/>
    <w:hidden/>
    <w:rsid w:val="004A5F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Ttulo1Char">
    <w:name w:val="Título 1 Char"/>
    <w:link w:val="Ttulo1"/>
    <w:uiPriority w:val="9"/>
    <w:rsid w:val="00D724EF"/>
    <w:rPr>
      <w:b/>
      <w:bCs/>
      <w:kern w:val="36"/>
      <w:sz w:val="48"/>
      <w:szCs w:val="48"/>
      <w:lang w:val="en-US" w:eastAsia="en-US"/>
    </w:rPr>
  </w:style>
  <w:style w:type="character" w:styleId="Forte">
    <w:name w:val="Strong"/>
    <w:uiPriority w:val="22"/>
    <w:qFormat/>
    <w:rsid w:val="00D724EF"/>
    <w:rPr>
      <w:b/>
      <w:bCs/>
    </w:rPr>
  </w:style>
  <w:style w:type="paragraph" w:styleId="NormalWeb">
    <w:name w:val="Normal (Web)"/>
    <w:basedOn w:val="Normal"/>
    <w:uiPriority w:val="99"/>
    <w:unhideWhenUsed/>
    <w:rsid w:val="00D724EF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D724EF"/>
    <w:rPr>
      <w:i/>
      <w:iCs/>
    </w:rPr>
  </w:style>
  <w:style w:type="paragraph" w:styleId="Cabealho">
    <w:name w:val="header"/>
    <w:basedOn w:val="Normal"/>
    <w:link w:val="CabealhoChar"/>
    <w:rsid w:val="007C1EE8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link w:val="Cabealho"/>
    <w:rsid w:val="007C1EE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rsid w:val="007C1EE8"/>
    <w:pPr>
      <w:tabs>
        <w:tab w:val="center" w:pos="4513"/>
        <w:tab w:val="right" w:pos="9026"/>
      </w:tabs>
    </w:pPr>
  </w:style>
  <w:style w:type="character" w:customStyle="1" w:styleId="RodapChar">
    <w:name w:val="Rodapé Char"/>
    <w:link w:val="Rodap"/>
    <w:uiPriority w:val="99"/>
    <w:rsid w:val="007C1EE8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rsid w:val="007C1EE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C1EE8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923109"/>
    <w:pPr>
      <w:autoSpaceDE w:val="0"/>
      <w:autoSpaceDN w:val="0"/>
      <w:adjustRightInd w:val="0"/>
    </w:pPr>
    <w:rPr>
      <w:rFonts w:ascii="Lucida Handwriting" w:eastAsia="Calibri" w:hAnsi="Lucida Handwriting" w:cs="Lucida Handwriting"/>
      <w:color w:val="000000"/>
      <w:lang w:eastAsia="en-US"/>
    </w:rPr>
  </w:style>
  <w:style w:type="paragraph" w:customStyle="1" w:styleId="TextosemFormatao1">
    <w:name w:val="Texto sem Formatação1"/>
    <w:basedOn w:val="Normal"/>
    <w:rsid w:val="00E22896"/>
    <w:rPr>
      <w:rFonts w:ascii="Courier New" w:hAnsi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31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997F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997F1E"/>
    <w:rPr>
      <w:lang w:val="en-US" w:eastAsia="en-US"/>
    </w:rPr>
  </w:style>
  <w:style w:type="character" w:styleId="Refdenotaderodap">
    <w:name w:val="footnote reference"/>
    <w:semiHidden/>
    <w:unhideWhenUsed/>
    <w:rsid w:val="00997F1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B224EA"/>
    <w:pPr>
      <w:ind w:firstLine="709"/>
      <w:jc w:val="both"/>
    </w:pPr>
    <w:rPr>
      <w:rFonts w:eastAsia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1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rcid.org/0009-0009-2407-936X" TargetMode="External"/><Relationship Id="rId18" Type="http://schemas.openxmlformats.org/officeDocument/2006/relationships/chart" Target="charts/chart3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luiz.melo@ufra.edu.br" TargetMode="Externa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3-4080-9333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header" Target="header2.xml"/><Relationship Id="rId10" Type="http://schemas.openxmlformats.org/officeDocument/2006/relationships/hyperlink" Target="lucas.raiol@ig.ufpa.br" TargetMode="External"/><Relationship Id="rId19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hyperlink" Target="https://orcid.org/0000-0002-6227-626X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inep/pt-br/centrais-de-conteudo/acervo-linha-editorial/publicacoes-diversas/temas-interdisciplinares/diretrizes-curriculares-nacionais-para-a-educacao-das-relacoes-etnico-raciais-e-para-o-ensino-de-historia-e-cultura-afro-brasileira-e-african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eriodicos.ufpa.br/index.php/geoamazonia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ocumentos\graduac&#227;o%20EAER\Eletivas\Rela&#231;&#245;es%20etnicos\Relacoes%20etnicas\Relacoes%20etnicas\dados_processad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ocumentos\graduac&#227;o%20EAER\Eletivas\Rela&#231;&#245;es%20etnicos\Relacoes%20etnicas\Relacoes%20etnicas\dados_processad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ocumentos\graduac&#227;o%20EAER\Eletivas\Rela&#231;&#245;es%20etnicos\Relacoes%20etnicas\Relacoes%20etnicas\dados_processado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ocumentos\graduac&#227;o%20EAER\Eletivas\Rela&#231;&#245;es%20etnicos\Relacoes%20etnicas\Relacoes%20etnicas\dados_processado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ocumentos\graduac&#227;o%20EAER\Eletivas\Rela&#231;&#245;es%20etnicos\Relacoes%20etnicas\Relacoes%20etnicas\dados_processado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dk1">
                      <a:tint val="88500"/>
                      <a:shade val="51000"/>
                      <a:satMod val="130000"/>
                    </a:schemeClr>
                  </a:gs>
                  <a:gs pos="80000">
                    <a:schemeClr val="dk1">
                      <a:tint val="88500"/>
                      <a:shade val="93000"/>
                      <a:satMod val="130000"/>
                    </a:schemeClr>
                  </a:gs>
                  <a:gs pos="100000">
                    <a:schemeClr val="dk1">
                      <a:tint val="885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trendline>
            <c:spPr>
              <a:ln w="9525" cap="rnd">
                <a:solidFill>
                  <a:schemeClr val="dk1">
                    <a:tint val="885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dk1">
                    <a:tint val="88500"/>
                  </a:schemeClr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dk1">
                    <a:tint val="88500"/>
                  </a:schemeClr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9.9229658792650915E-2"/>
                  <c:y val="-0.3208511956838728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 = 0,38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</c:trendlineLbl>
          </c:trendline>
          <c:xVal>
            <c:numRef>
              <c:f>correlação!$B$3:$B$160</c:f>
              <c:numCache>
                <c:formatCode>General</c:formatCode>
                <c:ptCount val="158"/>
                <c:pt idx="0">
                  <c:v>42</c:v>
                </c:pt>
                <c:pt idx="1">
                  <c:v>43</c:v>
                </c:pt>
                <c:pt idx="2">
                  <c:v>73</c:v>
                </c:pt>
                <c:pt idx="3">
                  <c:v>70</c:v>
                </c:pt>
                <c:pt idx="4">
                  <c:v>54</c:v>
                </c:pt>
                <c:pt idx="5">
                  <c:v>68</c:v>
                </c:pt>
                <c:pt idx="6">
                  <c:v>164</c:v>
                </c:pt>
                <c:pt idx="7">
                  <c:v>96</c:v>
                </c:pt>
                <c:pt idx="8">
                  <c:v>134</c:v>
                </c:pt>
                <c:pt idx="9">
                  <c:v>268</c:v>
                </c:pt>
                <c:pt idx="10">
                  <c:v>181</c:v>
                </c:pt>
                <c:pt idx="11">
                  <c:v>209</c:v>
                </c:pt>
                <c:pt idx="12">
                  <c:v>230</c:v>
                </c:pt>
                <c:pt idx="13">
                  <c:v>211</c:v>
                </c:pt>
                <c:pt idx="14">
                  <c:v>252</c:v>
                </c:pt>
                <c:pt idx="15">
                  <c:v>253</c:v>
                </c:pt>
                <c:pt idx="16">
                  <c:v>357</c:v>
                </c:pt>
                <c:pt idx="17">
                  <c:v>247</c:v>
                </c:pt>
                <c:pt idx="18">
                  <c:v>238</c:v>
                </c:pt>
                <c:pt idx="19">
                  <c:v>226</c:v>
                </c:pt>
                <c:pt idx="20">
                  <c:v>331</c:v>
                </c:pt>
                <c:pt idx="21">
                  <c:v>276</c:v>
                </c:pt>
                <c:pt idx="22">
                  <c:v>264</c:v>
                </c:pt>
                <c:pt idx="23">
                  <c:v>378</c:v>
                </c:pt>
                <c:pt idx="24">
                  <c:v>231</c:v>
                </c:pt>
                <c:pt idx="25">
                  <c:v>303</c:v>
                </c:pt>
                <c:pt idx="26">
                  <c:v>378</c:v>
                </c:pt>
                <c:pt idx="27">
                  <c:v>268</c:v>
                </c:pt>
                <c:pt idx="28">
                  <c:v>207</c:v>
                </c:pt>
                <c:pt idx="29">
                  <c:v>309</c:v>
                </c:pt>
                <c:pt idx="30">
                  <c:v>291</c:v>
                </c:pt>
                <c:pt idx="31">
                  <c:v>272</c:v>
                </c:pt>
                <c:pt idx="32">
                  <c:v>209</c:v>
                </c:pt>
                <c:pt idx="33">
                  <c:v>364</c:v>
                </c:pt>
                <c:pt idx="34">
                  <c:v>320</c:v>
                </c:pt>
                <c:pt idx="35">
                  <c:v>321</c:v>
                </c:pt>
                <c:pt idx="36">
                  <c:v>410</c:v>
                </c:pt>
                <c:pt idx="37">
                  <c:v>440</c:v>
                </c:pt>
                <c:pt idx="38">
                  <c:v>353</c:v>
                </c:pt>
                <c:pt idx="39">
                  <c:v>371</c:v>
                </c:pt>
                <c:pt idx="40">
                  <c:v>389</c:v>
                </c:pt>
                <c:pt idx="41">
                  <c:v>368</c:v>
                </c:pt>
                <c:pt idx="42">
                  <c:v>310</c:v>
                </c:pt>
                <c:pt idx="43">
                  <c:v>420</c:v>
                </c:pt>
                <c:pt idx="44">
                  <c:v>472</c:v>
                </c:pt>
                <c:pt idx="45">
                  <c:v>234</c:v>
                </c:pt>
                <c:pt idx="46">
                  <c:v>303</c:v>
                </c:pt>
                <c:pt idx="47">
                  <c:v>304</c:v>
                </c:pt>
                <c:pt idx="48">
                  <c:v>479</c:v>
                </c:pt>
                <c:pt idx="49">
                  <c:v>361</c:v>
                </c:pt>
                <c:pt idx="50">
                  <c:v>378</c:v>
                </c:pt>
                <c:pt idx="51">
                  <c:v>330</c:v>
                </c:pt>
                <c:pt idx="52">
                  <c:v>352</c:v>
                </c:pt>
                <c:pt idx="53">
                  <c:v>382</c:v>
                </c:pt>
                <c:pt idx="54">
                  <c:v>419</c:v>
                </c:pt>
                <c:pt idx="55">
                  <c:v>650</c:v>
                </c:pt>
                <c:pt idx="56">
                  <c:v>509</c:v>
                </c:pt>
                <c:pt idx="57">
                  <c:v>412</c:v>
                </c:pt>
                <c:pt idx="58">
                  <c:v>440</c:v>
                </c:pt>
                <c:pt idx="59">
                  <c:v>382</c:v>
                </c:pt>
                <c:pt idx="60">
                  <c:v>475</c:v>
                </c:pt>
                <c:pt idx="61">
                  <c:v>532</c:v>
                </c:pt>
                <c:pt idx="62">
                  <c:v>373</c:v>
                </c:pt>
                <c:pt idx="63">
                  <c:v>588</c:v>
                </c:pt>
                <c:pt idx="64">
                  <c:v>464</c:v>
                </c:pt>
                <c:pt idx="65">
                  <c:v>416</c:v>
                </c:pt>
                <c:pt idx="66">
                  <c:v>330</c:v>
                </c:pt>
                <c:pt idx="67">
                  <c:v>453</c:v>
                </c:pt>
                <c:pt idx="68">
                  <c:v>419</c:v>
                </c:pt>
                <c:pt idx="69">
                  <c:v>419</c:v>
                </c:pt>
                <c:pt idx="70">
                  <c:v>431</c:v>
                </c:pt>
                <c:pt idx="71">
                  <c:v>468</c:v>
                </c:pt>
                <c:pt idx="72">
                  <c:v>474</c:v>
                </c:pt>
                <c:pt idx="73">
                  <c:v>333</c:v>
                </c:pt>
                <c:pt idx="74">
                  <c:v>440</c:v>
                </c:pt>
                <c:pt idx="75">
                  <c:v>399</c:v>
                </c:pt>
                <c:pt idx="76">
                  <c:v>428</c:v>
                </c:pt>
                <c:pt idx="77">
                  <c:v>476</c:v>
                </c:pt>
                <c:pt idx="78">
                  <c:v>457</c:v>
                </c:pt>
                <c:pt idx="79">
                  <c:v>563</c:v>
                </c:pt>
                <c:pt idx="80">
                  <c:v>398</c:v>
                </c:pt>
                <c:pt idx="81">
                  <c:v>483</c:v>
                </c:pt>
                <c:pt idx="82">
                  <c:v>383</c:v>
                </c:pt>
                <c:pt idx="83">
                  <c:v>497</c:v>
                </c:pt>
                <c:pt idx="84">
                  <c:v>479</c:v>
                </c:pt>
                <c:pt idx="85">
                  <c:v>368</c:v>
                </c:pt>
                <c:pt idx="86">
                  <c:v>319</c:v>
                </c:pt>
                <c:pt idx="87">
                  <c:v>427</c:v>
                </c:pt>
                <c:pt idx="88">
                  <c:v>367</c:v>
                </c:pt>
                <c:pt idx="89">
                  <c:v>658</c:v>
                </c:pt>
                <c:pt idx="90">
                  <c:v>579</c:v>
                </c:pt>
                <c:pt idx="91">
                  <c:v>644</c:v>
                </c:pt>
                <c:pt idx="92">
                  <c:v>470</c:v>
                </c:pt>
                <c:pt idx="93">
                  <c:v>494</c:v>
                </c:pt>
                <c:pt idx="94">
                  <c:v>511</c:v>
                </c:pt>
                <c:pt idx="95">
                  <c:v>406</c:v>
                </c:pt>
                <c:pt idx="96">
                  <c:v>331</c:v>
                </c:pt>
                <c:pt idx="97">
                  <c:v>507</c:v>
                </c:pt>
                <c:pt idx="98">
                  <c:v>387</c:v>
                </c:pt>
                <c:pt idx="99">
                  <c:v>673</c:v>
                </c:pt>
                <c:pt idx="100">
                  <c:v>607</c:v>
                </c:pt>
                <c:pt idx="101">
                  <c:v>485</c:v>
                </c:pt>
                <c:pt idx="102">
                  <c:v>431</c:v>
                </c:pt>
                <c:pt idx="103">
                  <c:v>364</c:v>
                </c:pt>
                <c:pt idx="104">
                  <c:v>513</c:v>
                </c:pt>
                <c:pt idx="105">
                  <c:v>414</c:v>
                </c:pt>
                <c:pt idx="106">
                  <c:v>560</c:v>
                </c:pt>
                <c:pt idx="107">
                  <c:v>437</c:v>
                </c:pt>
                <c:pt idx="108">
                  <c:v>424</c:v>
                </c:pt>
                <c:pt idx="109">
                  <c:v>553</c:v>
                </c:pt>
                <c:pt idx="110">
                  <c:v>440</c:v>
                </c:pt>
                <c:pt idx="111">
                  <c:v>547</c:v>
                </c:pt>
                <c:pt idx="112">
                  <c:v>595</c:v>
                </c:pt>
                <c:pt idx="113">
                  <c:v>722</c:v>
                </c:pt>
                <c:pt idx="114">
                  <c:v>539</c:v>
                </c:pt>
                <c:pt idx="115">
                  <c:v>663</c:v>
                </c:pt>
                <c:pt idx="116">
                  <c:v>567</c:v>
                </c:pt>
                <c:pt idx="117">
                  <c:v>565</c:v>
                </c:pt>
                <c:pt idx="118">
                  <c:v>591</c:v>
                </c:pt>
                <c:pt idx="119">
                  <c:v>414</c:v>
                </c:pt>
                <c:pt idx="120">
                  <c:v>648</c:v>
                </c:pt>
                <c:pt idx="121">
                  <c:v>544</c:v>
                </c:pt>
                <c:pt idx="122">
                  <c:v>601</c:v>
                </c:pt>
                <c:pt idx="123">
                  <c:v>594</c:v>
                </c:pt>
                <c:pt idx="124">
                  <c:v>465</c:v>
                </c:pt>
                <c:pt idx="125">
                  <c:v>585</c:v>
                </c:pt>
                <c:pt idx="126">
                  <c:v>569</c:v>
                </c:pt>
                <c:pt idx="127">
                  <c:v>472</c:v>
                </c:pt>
                <c:pt idx="128">
                  <c:v>543</c:v>
                </c:pt>
                <c:pt idx="129">
                  <c:v>767</c:v>
                </c:pt>
                <c:pt idx="130">
                  <c:v>889</c:v>
                </c:pt>
                <c:pt idx="131">
                  <c:v>806</c:v>
                </c:pt>
                <c:pt idx="132">
                  <c:v>608</c:v>
                </c:pt>
                <c:pt idx="133">
                  <c:v>707</c:v>
                </c:pt>
                <c:pt idx="134">
                  <c:v>695</c:v>
                </c:pt>
                <c:pt idx="135">
                  <c:v>527</c:v>
                </c:pt>
                <c:pt idx="136">
                  <c:v>633</c:v>
                </c:pt>
                <c:pt idx="137">
                  <c:v>585</c:v>
                </c:pt>
                <c:pt idx="138">
                  <c:v>862</c:v>
                </c:pt>
                <c:pt idx="139">
                  <c:v>415</c:v>
                </c:pt>
                <c:pt idx="140">
                  <c:v>838</c:v>
                </c:pt>
                <c:pt idx="141">
                  <c:v>532</c:v>
                </c:pt>
                <c:pt idx="142">
                  <c:v>484</c:v>
                </c:pt>
                <c:pt idx="143">
                  <c:v>731</c:v>
                </c:pt>
                <c:pt idx="144">
                  <c:v>622</c:v>
                </c:pt>
                <c:pt idx="145">
                  <c:v>487</c:v>
                </c:pt>
                <c:pt idx="146">
                  <c:v>606</c:v>
                </c:pt>
                <c:pt idx="147">
                  <c:v>567</c:v>
                </c:pt>
                <c:pt idx="148">
                  <c:v>820</c:v>
                </c:pt>
                <c:pt idx="149">
                  <c:v>447</c:v>
                </c:pt>
                <c:pt idx="150">
                  <c:v>596</c:v>
                </c:pt>
                <c:pt idx="151">
                  <c:v>682</c:v>
                </c:pt>
                <c:pt idx="152">
                  <c:v>713</c:v>
                </c:pt>
                <c:pt idx="153">
                  <c:v>652</c:v>
                </c:pt>
                <c:pt idx="154">
                  <c:v>622</c:v>
                </c:pt>
                <c:pt idx="155">
                  <c:v>581</c:v>
                </c:pt>
                <c:pt idx="156">
                  <c:v>490</c:v>
                </c:pt>
                <c:pt idx="157">
                  <c:v>884</c:v>
                </c:pt>
              </c:numCache>
            </c:numRef>
          </c:xVal>
          <c:yVal>
            <c:numRef>
              <c:f>correlação!$C$3:$C$160</c:f>
              <c:numCache>
                <c:formatCode>General</c:formatCode>
                <c:ptCount val="158"/>
                <c:pt idx="0">
                  <c:v>3237.8</c:v>
                </c:pt>
                <c:pt idx="1">
                  <c:v>2530</c:v>
                </c:pt>
                <c:pt idx="2">
                  <c:v>7950.29</c:v>
                </c:pt>
                <c:pt idx="3">
                  <c:v>4299.2</c:v>
                </c:pt>
                <c:pt idx="4">
                  <c:v>2845.32</c:v>
                </c:pt>
                <c:pt idx="5">
                  <c:v>4016.6</c:v>
                </c:pt>
                <c:pt idx="6">
                  <c:v>3327.27</c:v>
                </c:pt>
                <c:pt idx="7">
                  <c:v>2512.84</c:v>
                </c:pt>
                <c:pt idx="8">
                  <c:v>4254.45</c:v>
                </c:pt>
                <c:pt idx="9">
                  <c:v>4323.79</c:v>
                </c:pt>
                <c:pt idx="10">
                  <c:v>2217.83</c:v>
                </c:pt>
                <c:pt idx="11">
                  <c:v>3088.37</c:v>
                </c:pt>
                <c:pt idx="12">
                  <c:v>3362.88</c:v>
                </c:pt>
                <c:pt idx="13">
                  <c:v>3574.14</c:v>
                </c:pt>
                <c:pt idx="14">
                  <c:v>4825.84</c:v>
                </c:pt>
                <c:pt idx="15">
                  <c:v>5613.3</c:v>
                </c:pt>
                <c:pt idx="16">
                  <c:v>3580.2</c:v>
                </c:pt>
                <c:pt idx="17">
                  <c:v>4614.7700000000004</c:v>
                </c:pt>
                <c:pt idx="18">
                  <c:v>2380.19</c:v>
                </c:pt>
                <c:pt idx="19">
                  <c:v>3831.18</c:v>
                </c:pt>
                <c:pt idx="20">
                  <c:v>4900.09</c:v>
                </c:pt>
                <c:pt idx="21">
                  <c:v>2537.12</c:v>
                </c:pt>
                <c:pt idx="22">
                  <c:v>3260.75</c:v>
                </c:pt>
                <c:pt idx="23">
                  <c:v>5985.72</c:v>
                </c:pt>
                <c:pt idx="24">
                  <c:v>3557.88</c:v>
                </c:pt>
                <c:pt idx="25">
                  <c:v>4415.99</c:v>
                </c:pt>
                <c:pt idx="26">
                  <c:v>5382.12</c:v>
                </c:pt>
                <c:pt idx="27">
                  <c:v>5859.96</c:v>
                </c:pt>
                <c:pt idx="28">
                  <c:v>2566.4499999999998</c:v>
                </c:pt>
                <c:pt idx="29">
                  <c:v>3181.57</c:v>
                </c:pt>
                <c:pt idx="30">
                  <c:v>4406.1000000000004</c:v>
                </c:pt>
                <c:pt idx="31">
                  <c:v>4426.05</c:v>
                </c:pt>
                <c:pt idx="32">
                  <c:v>3335.57</c:v>
                </c:pt>
                <c:pt idx="33">
                  <c:v>4244.8900000000003</c:v>
                </c:pt>
                <c:pt idx="34">
                  <c:v>4487.8100000000004</c:v>
                </c:pt>
                <c:pt idx="35">
                  <c:v>6268.91</c:v>
                </c:pt>
                <c:pt idx="36">
                  <c:v>6634.88</c:v>
                </c:pt>
                <c:pt idx="37">
                  <c:v>4491.37</c:v>
                </c:pt>
                <c:pt idx="38">
                  <c:v>5069.12</c:v>
                </c:pt>
                <c:pt idx="39">
                  <c:v>4230.09</c:v>
                </c:pt>
                <c:pt idx="40">
                  <c:v>4268.7299999999996</c:v>
                </c:pt>
                <c:pt idx="41">
                  <c:v>4050.8</c:v>
                </c:pt>
                <c:pt idx="42">
                  <c:v>5242.8100000000004</c:v>
                </c:pt>
                <c:pt idx="43">
                  <c:v>3710.15</c:v>
                </c:pt>
                <c:pt idx="44">
                  <c:v>2750.22</c:v>
                </c:pt>
                <c:pt idx="45">
                  <c:v>2790.25</c:v>
                </c:pt>
                <c:pt idx="46">
                  <c:v>6588.83</c:v>
                </c:pt>
                <c:pt idx="47">
                  <c:v>3399.82</c:v>
                </c:pt>
                <c:pt idx="48">
                  <c:v>4008.58</c:v>
                </c:pt>
                <c:pt idx="49">
                  <c:v>5091.72</c:v>
                </c:pt>
                <c:pt idx="50">
                  <c:v>6823.31</c:v>
                </c:pt>
                <c:pt idx="51">
                  <c:v>2789.82</c:v>
                </c:pt>
                <c:pt idx="52">
                  <c:v>4183.3999999999996</c:v>
                </c:pt>
                <c:pt idx="53">
                  <c:v>3840.75</c:v>
                </c:pt>
                <c:pt idx="54">
                  <c:v>3130.96</c:v>
                </c:pt>
                <c:pt idx="55">
                  <c:v>11174.38</c:v>
                </c:pt>
                <c:pt idx="56">
                  <c:v>6785.02</c:v>
                </c:pt>
                <c:pt idx="57">
                  <c:v>2588.5100000000002</c:v>
                </c:pt>
                <c:pt idx="58">
                  <c:v>8105.94</c:v>
                </c:pt>
                <c:pt idx="59">
                  <c:v>2610.6</c:v>
                </c:pt>
                <c:pt idx="60">
                  <c:v>2428.4</c:v>
                </c:pt>
                <c:pt idx="61">
                  <c:v>7106.83</c:v>
                </c:pt>
                <c:pt idx="62">
                  <c:v>4315.0600000000004</c:v>
                </c:pt>
                <c:pt idx="63">
                  <c:v>3971.88</c:v>
                </c:pt>
                <c:pt idx="64">
                  <c:v>7006.45</c:v>
                </c:pt>
                <c:pt idx="65">
                  <c:v>4080.65</c:v>
                </c:pt>
                <c:pt idx="66">
                  <c:v>3013.41</c:v>
                </c:pt>
                <c:pt idx="67">
                  <c:v>5959.49</c:v>
                </c:pt>
                <c:pt idx="68">
                  <c:v>3095.15</c:v>
                </c:pt>
                <c:pt idx="69">
                  <c:v>3472.33</c:v>
                </c:pt>
                <c:pt idx="70">
                  <c:v>2262.0700000000002</c:v>
                </c:pt>
                <c:pt idx="71">
                  <c:v>2437.2399999999998</c:v>
                </c:pt>
                <c:pt idx="72">
                  <c:v>7131.36</c:v>
                </c:pt>
                <c:pt idx="73">
                  <c:v>7353.7</c:v>
                </c:pt>
                <c:pt idx="74">
                  <c:v>3199.09</c:v>
                </c:pt>
                <c:pt idx="75">
                  <c:v>4739.09</c:v>
                </c:pt>
                <c:pt idx="76">
                  <c:v>5643.6</c:v>
                </c:pt>
                <c:pt idx="77">
                  <c:v>3732.94</c:v>
                </c:pt>
                <c:pt idx="78">
                  <c:v>6535.01</c:v>
                </c:pt>
                <c:pt idx="79">
                  <c:v>5429.72</c:v>
                </c:pt>
                <c:pt idx="80">
                  <c:v>3930.85</c:v>
                </c:pt>
                <c:pt idx="81">
                  <c:v>5416.28</c:v>
                </c:pt>
                <c:pt idx="82">
                  <c:v>2669.71</c:v>
                </c:pt>
                <c:pt idx="83">
                  <c:v>4668.88</c:v>
                </c:pt>
                <c:pt idx="84">
                  <c:v>5944.66</c:v>
                </c:pt>
                <c:pt idx="85">
                  <c:v>4572.63</c:v>
                </c:pt>
                <c:pt idx="86">
                  <c:v>1516.92</c:v>
                </c:pt>
                <c:pt idx="87">
                  <c:v>3979.66</c:v>
                </c:pt>
                <c:pt idx="88">
                  <c:v>2132.1999999999998</c:v>
                </c:pt>
                <c:pt idx="89">
                  <c:v>7272.8</c:v>
                </c:pt>
                <c:pt idx="90">
                  <c:v>2725.48</c:v>
                </c:pt>
                <c:pt idx="91">
                  <c:v>4718.74</c:v>
                </c:pt>
                <c:pt idx="92">
                  <c:v>5164.5</c:v>
                </c:pt>
                <c:pt idx="93">
                  <c:v>2572.96</c:v>
                </c:pt>
                <c:pt idx="94">
                  <c:v>7623.61</c:v>
                </c:pt>
                <c:pt idx="95">
                  <c:v>2048.6799999999998</c:v>
                </c:pt>
                <c:pt idx="96">
                  <c:v>1689.61</c:v>
                </c:pt>
                <c:pt idx="97">
                  <c:v>6055.26</c:v>
                </c:pt>
                <c:pt idx="98">
                  <c:v>2325.69</c:v>
                </c:pt>
                <c:pt idx="99">
                  <c:v>6531.16</c:v>
                </c:pt>
                <c:pt idx="100">
                  <c:v>6699.63</c:v>
                </c:pt>
                <c:pt idx="101">
                  <c:v>4059.02</c:v>
                </c:pt>
                <c:pt idx="102">
                  <c:v>3311.06</c:v>
                </c:pt>
                <c:pt idx="103">
                  <c:v>5935.12</c:v>
                </c:pt>
                <c:pt idx="104">
                  <c:v>5190.96</c:v>
                </c:pt>
                <c:pt idx="105">
                  <c:v>5597.65</c:v>
                </c:pt>
                <c:pt idx="106">
                  <c:v>5794.44</c:v>
                </c:pt>
                <c:pt idx="107">
                  <c:v>2817.97</c:v>
                </c:pt>
                <c:pt idx="108">
                  <c:v>3484.7</c:v>
                </c:pt>
                <c:pt idx="109">
                  <c:v>2590.7600000000002</c:v>
                </c:pt>
                <c:pt idx="110">
                  <c:v>5341.19</c:v>
                </c:pt>
                <c:pt idx="111">
                  <c:v>3122.45</c:v>
                </c:pt>
                <c:pt idx="112">
                  <c:v>3918.69</c:v>
                </c:pt>
                <c:pt idx="113">
                  <c:v>6801.56</c:v>
                </c:pt>
                <c:pt idx="114">
                  <c:v>2936.15</c:v>
                </c:pt>
                <c:pt idx="115">
                  <c:v>5824.63</c:v>
                </c:pt>
                <c:pt idx="116">
                  <c:v>5569.58</c:v>
                </c:pt>
                <c:pt idx="117">
                  <c:v>7182.89</c:v>
                </c:pt>
                <c:pt idx="118">
                  <c:v>5885.53</c:v>
                </c:pt>
                <c:pt idx="119">
                  <c:v>2362.5100000000002</c:v>
                </c:pt>
                <c:pt idx="120">
                  <c:v>6202.83</c:v>
                </c:pt>
                <c:pt idx="121">
                  <c:v>5119.59</c:v>
                </c:pt>
                <c:pt idx="122">
                  <c:v>8071.36</c:v>
                </c:pt>
                <c:pt idx="123">
                  <c:v>3605.19</c:v>
                </c:pt>
                <c:pt idx="124">
                  <c:v>3785.9</c:v>
                </c:pt>
                <c:pt idx="125">
                  <c:v>5350.6</c:v>
                </c:pt>
                <c:pt idx="126">
                  <c:v>3780.25</c:v>
                </c:pt>
                <c:pt idx="127">
                  <c:v>3351.59</c:v>
                </c:pt>
                <c:pt idx="128">
                  <c:v>4554.6499999999996</c:v>
                </c:pt>
                <c:pt idx="129">
                  <c:v>7446.67</c:v>
                </c:pt>
                <c:pt idx="130">
                  <c:v>4176.8599999999997</c:v>
                </c:pt>
                <c:pt idx="131">
                  <c:v>6311.43</c:v>
                </c:pt>
                <c:pt idx="132">
                  <c:v>3523.87</c:v>
                </c:pt>
                <c:pt idx="133">
                  <c:v>5260.74</c:v>
                </c:pt>
                <c:pt idx="134">
                  <c:v>5856.28</c:v>
                </c:pt>
                <c:pt idx="135">
                  <c:v>4938.92</c:v>
                </c:pt>
                <c:pt idx="136">
                  <c:v>4229.18</c:v>
                </c:pt>
                <c:pt idx="137">
                  <c:v>4351.18</c:v>
                </c:pt>
                <c:pt idx="138">
                  <c:v>4886.92</c:v>
                </c:pt>
                <c:pt idx="139">
                  <c:v>4509.24</c:v>
                </c:pt>
                <c:pt idx="140">
                  <c:v>7666.16</c:v>
                </c:pt>
                <c:pt idx="141">
                  <c:v>4676.5200000000004</c:v>
                </c:pt>
                <c:pt idx="142">
                  <c:v>3202.93</c:v>
                </c:pt>
                <c:pt idx="143">
                  <c:v>3512.73</c:v>
                </c:pt>
                <c:pt idx="144">
                  <c:v>5644.66</c:v>
                </c:pt>
                <c:pt idx="145">
                  <c:v>3770.54</c:v>
                </c:pt>
                <c:pt idx="146">
                  <c:v>7770.71</c:v>
                </c:pt>
                <c:pt idx="147">
                  <c:v>6281.74</c:v>
                </c:pt>
                <c:pt idx="148">
                  <c:v>5222.17</c:v>
                </c:pt>
                <c:pt idx="149">
                  <c:v>3179.67</c:v>
                </c:pt>
                <c:pt idx="150">
                  <c:v>5038.03</c:v>
                </c:pt>
                <c:pt idx="151">
                  <c:v>3643.71</c:v>
                </c:pt>
                <c:pt idx="152">
                  <c:v>5674.24</c:v>
                </c:pt>
                <c:pt idx="153">
                  <c:v>5260.42</c:v>
                </c:pt>
                <c:pt idx="154">
                  <c:v>6672.47</c:v>
                </c:pt>
                <c:pt idx="155">
                  <c:v>3564.46</c:v>
                </c:pt>
                <c:pt idx="156">
                  <c:v>5419.32</c:v>
                </c:pt>
                <c:pt idx="157">
                  <c:v>5913.71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9FAC-4F88-8096-B86D47DE82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776124480"/>
        <c:axId val="-776122848"/>
      </c:scatterChart>
      <c:valAx>
        <c:axId val="-776124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Brancas (pessoas)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776122848"/>
        <c:crosses val="autoZero"/>
        <c:crossBetween val="midCat"/>
      </c:valAx>
      <c:valAx>
        <c:axId val="-77612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Rendimento mensal (R$)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7761244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dk1">
                      <a:tint val="88500"/>
                      <a:shade val="51000"/>
                      <a:satMod val="130000"/>
                    </a:schemeClr>
                  </a:gs>
                  <a:gs pos="80000">
                    <a:schemeClr val="dk1">
                      <a:tint val="88500"/>
                      <a:shade val="93000"/>
                      <a:satMod val="130000"/>
                    </a:schemeClr>
                  </a:gs>
                  <a:gs pos="100000">
                    <a:schemeClr val="dk1">
                      <a:tint val="885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trendline>
            <c:spPr>
              <a:ln w="9525" cap="rnd">
                <a:solidFill>
                  <a:schemeClr val="dk1">
                    <a:tint val="88500"/>
                  </a:schemeClr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4888560804899387"/>
                  <c:y val="-0.6352661125692621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R = </a:t>
                    </a:r>
                    <a:r>
                      <a:rPr lang="pt-BR" sz="1000" b="0" i="0" u="none" strike="noStrike" baseline="0">
                        <a:effectLst/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-0,29</a:t>
                    </a:r>
                    <a:r>
                      <a:rPr lang="pt-BR" sz="1000" b="0" i="0" u="none" strike="noStrike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</c:trendlineLbl>
          </c:trendline>
          <c:xVal>
            <c:numRef>
              <c:f>correlação!$H$3:$H$160</c:f>
              <c:numCache>
                <c:formatCode>General</c:formatCode>
                <c:ptCount val="158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25</c:v>
                </c:pt>
                <c:pt idx="4">
                  <c:v>9</c:v>
                </c:pt>
                <c:pt idx="5">
                  <c:v>14</c:v>
                </c:pt>
                <c:pt idx="6">
                  <c:v>10</c:v>
                </c:pt>
                <c:pt idx="7">
                  <c:v>6</c:v>
                </c:pt>
                <c:pt idx="8">
                  <c:v>8</c:v>
                </c:pt>
                <c:pt idx="9">
                  <c:v>23</c:v>
                </c:pt>
                <c:pt idx="10">
                  <c:v>44</c:v>
                </c:pt>
                <c:pt idx="11">
                  <c:v>9</c:v>
                </c:pt>
                <c:pt idx="12">
                  <c:v>37</c:v>
                </c:pt>
                <c:pt idx="13">
                  <c:v>12</c:v>
                </c:pt>
                <c:pt idx="14">
                  <c:v>23</c:v>
                </c:pt>
                <c:pt idx="15">
                  <c:v>26</c:v>
                </c:pt>
                <c:pt idx="16">
                  <c:v>10</c:v>
                </c:pt>
                <c:pt idx="17">
                  <c:v>6</c:v>
                </c:pt>
                <c:pt idx="18">
                  <c:v>17</c:v>
                </c:pt>
                <c:pt idx="19">
                  <c:v>43</c:v>
                </c:pt>
                <c:pt idx="20">
                  <c:v>7</c:v>
                </c:pt>
                <c:pt idx="21">
                  <c:v>35</c:v>
                </c:pt>
                <c:pt idx="22">
                  <c:v>20</c:v>
                </c:pt>
                <c:pt idx="23">
                  <c:v>41</c:v>
                </c:pt>
                <c:pt idx="24">
                  <c:v>10</c:v>
                </c:pt>
                <c:pt idx="25">
                  <c:v>22</c:v>
                </c:pt>
                <c:pt idx="26">
                  <c:v>14</c:v>
                </c:pt>
                <c:pt idx="27">
                  <c:v>8</c:v>
                </c:pt>
                <c:pt idx="28">
                  <c:v>43</c:v>
                </c:pt>
                <c:pt idx="29">
                  <c:v>76</c:v>
                </c:pt>
                <c:pt idx="30">
                  <c:v>32</c:v>
                </c:pt>
                <c:pt idx="31">
                  <c:v>14</c:v>
                </c:pt>
                <c:pt idx="32">
                  <c:v>25</c:v>
                </c:pt>
                <c:pt idx="33">
                  <c:v>24</c:v>
                </c:pt>
                <c:pt idx="34">
                  <c:v>61</c:v>
                </c:pt>
                <c:pt idx="35">
                  <c:v>46</c:v>
                </c:pt>
                <c:pt idx="36">
                  <c:v>15</c:v>
                </c:pt>
                <c:pt idx="37">
                  <c:v>32</c:v>
                </c:pt>
                <c:pt idx="38">
                  <c:v>14</c:v>
                </c:pt>
                <c:pt idx="39">
                  <c:v>37</c:v>
                </c:pt>
                <c:pt idx="40">
                  <c:v>28</c:v>
                </c:pt>
                <c:pt idx="41">
                  <c:v>56</c:v>
                </c:pt>
                <c:pt idx="42">
                  <c:v>22</c:v>
                </c:pt>
                <c:pt idx="43">
                  <c:v>44</c:v>
                </c:pt>
                <c:pt idx="44">
                  <c:v>53</c:v>
                </c:pt>
                <c:pt idx="45">
                  <c:v>67</c:v>
                </c:pt>
                <c:pt idx="46">
                  <c:v>33</c:v>
                </c:pt>
                <c:pt idx="47">
                  <c:v>53</c:v>
                </c:pt>
                <c:pt idx="48">
                  <c:v>23</c:v>
                </c:pt>
                <c:pt idx="49">
                  <c:v>14</c:v>
                </c:pt>
                <c:pt idx="50">
                  <c:v>12</c:v>
                </c:pt>
                <c:pt idx="51">
                  <c:v>28</c:v>
                </c:pt>
                <c:pt idx="52">
                  <c:v>12</c:v>
                </c:pt>
                <c:pt idx="53">
                  <c:v>42</c:v>
                </c:pt>
                <c:pt idx="54">
                  <c:v>54</c:v>
                </c:pt>
                <c:pt idx="55">
                  <c:v>42</c:v>
                </c:pt>
                <c:pt idx="56">
                  <c:v>24</c:v>
                </c:pt>
                <c:pt idx="57">
                  <c:v>30</c:v>
                </c:pt>
                <c:pt idx="58">
                  <c:v>13</c:v>
                </c:pt>
                <c:pt idx="59">
                  <c:v>22</c:v>
                </c:pt>
                <c:pt idx="60">
                  <c:v>26</c:v>
                </c:pt>
                <c:pt idx="61">
                  <c:v>23</c:v>
                </c:pt>
                <c:pt idx="62">
                  <c:v>20</c:v>
                </c:pt>
                <c:pt idx="63">
                  <c:v>33</c:v>
                </c:pt>
                <c:pt idx="64">
                  <c:v>9</c:v>
                </c:pt>
                <c:pt idx="65">
                  <c:v>33</c:v>
                </c:pt>
                <c:pt idx="66">
                  <c:v>38</c:v>
                </c:pt>
                <c:pt idx="67">
                  <c:v>41</c:v>
                </c:pt>
                <c:pt idx="68">
                  <c:v>40</c:v>
                </c:pt>
                <c:pt idx="69">
                  <c:v>99</c:v>
                </c:pt>
                <c:pt idx="70">
                  <c:v>252</c:v>
                </c:pt>
                <c:pt idx="71">
                  <c:v>47</c:v>
                </c:pt>
                <c:pt idx="72">
                  <c:v>30</c:v>
                </c:pt>
                <c:pt idx="73">
                  <c:v>7</c:v>
                </c:pt>
                <c:pt idx="74">
                  <c:v>38</c:v>
                </c:pt>
                <c:pt idx="75">
                  <c:v>15</c:v>
                </c:pt>
                <c:pt idx="76">
                  <c:v>33</c:v>
                </c:pt>
                <c:pt idx="77">
                  <c:v>66</c:v>
                </c:pt>
                <c:pt idx="78">
                  <c:v>34</c:v>
                </c:pt>
                <c:pt idx="79">
                  <c:v>31</c:v>
                </c:pt>
                <c:pt idx="80">
                  <c:v>34</c:v>
                </c:pt>
                <c:pt idx="81">
                  <c:v>53</c:v>
                </c:pt>
                <c:pt idx="82">
                  <c:v>35</c:v>
                </c:pt>
                <c:pt idx="83">
                  <c:v>31</c:v>
                </c:pt>
                <c:pt idx="84">
                  <c:v>21</c:v>
                </c:pt>
                <c:pt idx="85">
                  <c:v>43</c:v>
                </c:pt>
                <c:pt idx="86">
                  <c:v>210</c:v>
                </c:pt>
                <c:pt idx="87">
                  <c:v>24</c:v>
                </c:pt>
                <c:pt idx="88">
                  <c:v>95</c:v>
                </c:pt>
                <c:pt idx="89">
                  <c:v>28</c:v>
                </c:pt>
                <c:pt idx="90">
                  <c:v>25</c:v>
                </c:pt>
                <c:pt idx="91">
                  <c:v>41</c:v>
                </c:pt>
                <c:pt idx="92">
                  <c:v>11</c:v>
                </c:pt>
                <c:pt idx="93">
                  <c:v>23</c:v>
                </c:pt>
                <c:pt idx="94">
                  <c:v>30</c:v>
                </c:pt>
                <c:pt idx="95">
                  <c:v>20</c:v>
                </c:pt>
                <c:pt idx="96">
                  <c:v>80</c:v>
                </c:pt>
                <c:pt idx="97">
                  <c:v>34</c:v>
                </c:pt>
                <c:pt idx="98">
                  <c:v>38</c:v>
                </c:pt>
                <c:pt idx="99">
                  <c:v>42</c:v>
                </c:pt>
                <c:pt idx="100">
                  <c:v>64</c:v>
                </c:pt>
                <c:pt idx="101">
                  <c:v>42</c:v>
                </c:pt>
                <c:pt idx="102">
                  <c:v>69</c:v>
                </c:pt>
                <c:pt idx="103">
                  <c:v>18</c:v>
                </c:pt>
                <c:pt idx="104">
                  <c:v>40</c:v>
                </c:pt>
                <c:pt idx="105">
                  <c:v>8</c:v>
                </c:pt>
                <c:pt idx="106">
                  <c:v>32</c:v>
                </c:pt>
                <c:pt idx="107">
                  <c:v>44</c:v>
                </c:pt>
                <c:pt idx="108">
                  <c:v>26</c:v>
                </c:pt>
                <c:pt idx="109">
                  <c:v>69</c:v>
                </c:pt>
                <c:pt idx="110">
                  <c:v>17</c:v>
                </c:pt>
                <c:pt idx="111">
                  <c:v>47</c:v>
                </c:pt>
                <c:pt idx="112">
                  <c:v>51</c:v>
                </c:pt>
                <c:pt idx="113">
                  <c:v>23</c:v>
                </c:pt>
                <c:pt idx="114">
                  <c:v>83</c:v>
                </c:pt>
                <c:pt idx="115">
                  <c:v>58</c:v>
                </c:pt>
                <c:pt idx="116">
                  <c:v>34</c:v>
                </c:pt>
                <c:pt idx="117">
                  <c:v>35</c:v>
                </c:pt>
                <c:pt idx="118">
                  <c:v>41</c:v>
                </c:pt>
                <c:pt idx="119">
                  <c:v>93</c:v>
                </c:pt>
                <c:pt idx="120">
                  <c:v>18</c:v>
                </c:pt>
                <c:pt idx="121">
                  <c:v>23</c:v>
                </c:pt>
                <c:pt idx="122">
                  <c:v>34</c:v>
                </c:pt>
                <c:pt idx="123">
                  <c:v>56</c:v>
                </c:pt>
                <c:pt idx="124">
                  <c:v>57</c:v>
                </c:pt>
                <c:pt idx="125">
                  <c:v>49</c:v>
                </c:pt>
                <c:pt idx="126">
                  <c:v>73</c:v>
                </c:pt>
                <c:pt idx="127">
                  <c:v>38</c:v>
                </c:pt>
                <c:pt idx="128">
                  <c:v>29</c:v>
                </c:pt>
                <c:pt idx="129">
                  <c:v>54</c:v>
                </c:pt>
                <c:pt idx="130">
                  <c:v>50</c:v>
                </c:pt>
                <c:pt idx="131">
                  <c:v>41</c:v>
                </c:pt>
                <c:pt idx="132">
                  <c:v>88</c:v>
                </c:pt>
                <c:pt idx="133">
                  <c:v>53</c:v>
                </c:pt>
                <c:pt idx="134">
                  <c:v>24</c:v>
                </c:pt>
                <c:pt idx="135">
                  <c:v>33</c:v>
                </c:pt>
                <c:pt idx="136">
                  <c:v>34</c:v>
                </c:pt>
                <c:pt idx="137">
                  <c:v>39</c:v>
                </c:pt>
                <c:pt idx="138">
                  <c:v>59</c:v>
                </c:pt>
                <c:pt idx="139">
                  <c:v>79</c:v>
                </c:pt>
                <c:pt idx="140">
                  <c:v>31</c:v>
                </c:pt>
                <c:pt idx="141">
                  <c:v>44</c:v>
                </c:pt>
                <c:pt idx="142">
                  <c:v>84</c:v>
                </c:pt>
                <c:pt idx="143">
                  <c:v>83</c:v>
                </c:pt>
                <c:pt idx="144">
                  <c:v>61</c:v>
                </c:pt>
                <c:pt idx="145">
                  <c:v>51</c:v>
                </c:pt>
                <c:pt idx="146">
                  <c:v>36</c:v>
                </c:pt>
                <c:pt idx="147">
                  <c:v>12</c:v>
                </c:pt>
                <c:pt idx="148">
                  <c:v>42</c:v>
                </c:pt>
                <c:pt idx="149">
                  <c:v>45</c:v>
                </c:pt>
                <c:pt idx="150">
                  <c:v>71</c:v>
                </c:pt>
                <c:pt idx="151">
                  <c:v>70</c:v>
                </c:pt>
                <c:pt idx="152">
                  <c:v>24</c:v>
                </c:pt>
                <c:pt idx="153">
                  <c:v>50</c:v>
                </c:pt>
                <c:pt idx="154">
                  <c:v>32</c:v>
                </c:pt>
                <c:pt idx="155">
                  <c:v>44</c:v>
                </c:pt>
                <c:pt idx="156">
                  <c:v>61</c:v>
                </c:pt>
                <c:pt idx="157">
                  <c:v>42</c:v>
                </c:pt>
              </c:numCache>
            </c:numRef>
          </c:xVal>
          <c:yVal>
            <c:numRef>
              <c:f>correlação!$I$3:$I$160</c:f>
              <c:numCache>
                <c:formatCode>General</c:formatCode>
                <c:ptCount val="158"/>
                <c:pt idx="0">
                  <c:v>3237.8</c:v>
                </c:pt>
                <c:pt idx="1">
                  <c:v>2530</c:v>
                </c:pt>
                <c:pt idx="2">
                  <c:v>7950.29</c:v>
                </c:pt>
                <c:pt idx="3">
                  <c:v>4299.2</c:v>
                </c:pt>
                <c:pt idx="4">
                  <c:v>2845.32</c:v>
                </c:pt>
                <c:pt idx="5">
                  <c:v>4016.6</c:v>
                </c:pt>
                <c:pt idx="6">
                  <c:v>3327.27</c:v>
                </c:pt>
                <c:pt idx="7">
                  <c:v>2512.84</c:v>
                </c:pt>
                <c:pt idx="8">
                  <c:v>4254.45</c:v>
                </c:pt>
                <c:pt idx="9">
                  <c:v>4323.79</c:v>
                </c:pt>
                <c:pt idx="10">
                  <c:v>2217.83</c:v>
                </c:pt>
                <c:pt idx="11">
                  <c:v>3088.37</c:v>
                </c:pt>
                <c:pt idx="12">
                  <c:v>3362.88</c:v>
                </c:pt>
                <c:pt idx="13">
                  <c:v>3574.14</c:v>
                </c:pt>
                <c:pt idx="14">
                  <c:v>4825.84</c:v>
                </c:pt>
                <c:pt idx="15">
                  <c:v>5613.3</c:v>
                </c:pt>
                <c:pt idx="16">
                  <c:v>3580.2</c:v>
                </c:pt>
                <c:pt idx="17">
                  <c:v>4614.7700000000004</c:v>
                </c:pt>
                <c:pt idx="18">
                  <c:v>2380.19</c:v>
                </c:pt>
                <c:pt idx="19">
                  <c:v>3831.18</c:v>
                </c:pt>
                <c:pt idx="20">
                  <c:v>4900.09</c:v>
                </c:pt>
                <c:pt idx="21">
                  <c:v>2537.12</c:v>
                </c:pt>
                <c:pt idx="22">
                  <c:v>3260.75</c:v>
                </c:pt>
                <c:pt idx="23">
                  <c:v>5985.72</c:v>
                </c:pt>
                <c:pt idx="24">
                  <c:v>3557.88</c:v>
                </c:pt>
                <c:pt idx="25">
                  <c:v>4415.99</c:v>
                </c:pt>
                <c:pt idx="26">
                  <c:v>5382.12</c:v>
                </c:pt>
                <c:pt idx="27">
                  <c:v>5859.96</c:v>
                </c:pt>
                <c:pt idx="28">
                  <c:v>2566.4499999999998</c:v>
                </c:pt>
                <c:pt idx="29">
                  <c:v>3181.57</c:v>
                </c:pt>
                <c:pt idx="30">
                  <c:v>4406.1000000000004</c:v>
                </c:pt>
                <c:pt idx="31">
                  <c:v>4426.05</c:v>
                </c:pt>
                <c:pt idx="32">
                  <c:v>3335.57</c:v>
                </c:pt>
                <c:pt idx="33">
                  <c:v>4244.8900000000003</c:v>
                </c:pt>
                <c:pt idx="34">
                  <c:v>4487.8100000000004</c:v>
                </c:pt>
                <c:pt idx="35">
                  <c:v>6268.91</c:v>
                </c:pt>
                <c:pt idx="36">
                  <c:v>6634.88</c:v>
                </c:pt>
                <c:pt idx="37">
                  <c:v>4491.37</c:v>
                </c:pt>
                <c:pt idx="38">
                  <c:v>5069.12</c:v>
                </c:pt>
                <c:pt idx="39">
                  <c:v>4230.09</c:v>
                </c:pt>
                <c:pt idx="40">
                  <c:v>4268.7299999999996</c:v>
                </c:pt>
                <c:pt idx="41">
                  <c:v>4050.8</c:v>
                </c:pt>
                <c:pt idx="42">
                  <c:v>5242.8100000000004</c:v>
                </c:pt>
                <c:pt idx="43">
                  <c:v>3710.15</c:v>
                </c:pt>
                <c:pt idx="44">
                  <c:v>2750.22</c:v>
                </c:pt>
                <c:pt idx="45">
                  <c:v>2790.25</c:v>
                </c:pt>
                <c:pt idx="46">
                  <c:v>6588.83</c:v>
                </c:pt>
                <c:pt idx="47">
                  <c:v>3399.82</c:v>
                </c:pt>
                <c:pt idx="48">
                  <c:v>4008.58</c:v>
                </c:pt>
                <c:pt idx="49">
                  <c:v>5091.72</c:v>
                </c:pt>
                <c:pt idx="50">
                  <c:v>6823.31</c:v>
                </c:pt>
                <c:pt idx="51">
                  <c:v>2789.82</c:v>
                </c:pt>
                <c:pt idx="52">
                  <c:v>4183.3999999999996</c:v>
                </c:pt>
                <c:pt idx="53">
                  <c:v>3840.75</c:v>
                </c:pt>
                <c:pt idx="54">
                  <c:v>3130.96</c:v>
                </c:pt>
                <c:pt idx="55">
                  <c:v>11174.38</c:v>
                </c:pt>
                <c:pt idx="56">
                  <c:v>6785.02</c:v>
                </c:pt>
                <c:pt idx="57">
                  <c:v>2588.5100000000002</c:v>
                </c:pt>
                <c:pt idx="58">
                  <c:v>8105.94</c:v>
                </c:pt>
                <c:pt idx="59">
                  <c:v>2610.6</c:v>
                </c:pt>
                <c:pt idx="60">
                  <c:v>2428.4</c:v>
                </c:pt>
                <c:pt idx="61">
                  <c:v>7106.83</c:v>
                </c:pt>
                <c:pt idx="62">
                  <c:v>4315.0600000000004</c:v>
                </c:pt>
                <c:pt idx="63">
                  <c:v>3971.88</c:v>
                </c:pt>
                <c:pt idx="64">
                  <c:v>7006.45</c:v>
                </c:pt>
                <c:pt idx="65">
                  <c:v>4080.65</c:v>
                </c:pt>
                <c:pt idx="66">
                  <c:v>3013.41</c:v>
                </c:pt>
                <c:pt idx="67">
                  <c:v>5959.49</c:v>
                </c:pt>
                <c:pt idx="68">
                  <c:v>3095.15</c:v>
                </c:pt>
                <c:pt idx="69">
                  <c:v>3472.33</c:v>
                </c:pt>
                <c:pt idx="70">
                  <c:v>2262.0700000000002</c:v>
                </c:pt>
                <c:pt idx="71">
                  <c:v>2437.2399999999998</c:v>
                </c:pt>
                <c:pt idx="72">
                  <c:v>7131.36</c:v>
                </c:pt>
                <c:pt idx="73">
                  <c:v>7353.7</c:v>
                </c:pt>
                <c:pt idx="74">
                  <c:v>3199.09</c:v>
                </c:pt>
                <c:pt idx="75">
                  <c:v>4739.09</c:v>
                </c:pt>
                <c:pt idx="76">
                  <c:v>5643.6</c:v>
                </c:pt>
                <c:pt idx="77">
                  <c:v>3732.94</c:v>
                </c:pt>
                <c:pt idx="78">
                  <c:v>6535.01</c:v>
                </c:pt>
                <c:pt idx="79">
                  <c:v>5429.72</c:v>
                </c:pt>
                <c:pt idx="80">
                  <c:v>3930.85</c:v>
                </c:pt>
                <c:pt idx="81">
                  <c:v>5416.28</c:v>
                </c:pt>
                <c:pt idx="82">
                  <c:v>2669.71</c:v>
                </c:pt>
                <c:pt idx="83">
                  <c:v>4668.88</c:v>
                </c:pt>
                <c:pt idx="84">
                  <c:v>5944.66</c:v>
                </c:pt>
                <c:pt idx="85">
                  <c:v>4572.63</c:v>
                </c:pt>
                <c:pt idx="86">
                  <c:v>1516.92</c:v>
                </c:pt>
                <c:pt idx="87">
                  <c:v>3979.66</c:v>
                </c:pt>
                <c:pt idx="88">
                  <c:v>2132.1999999999998</c:v>
                </c:pt>
                <c:pt idx="89">
                  <c:v>7272.8</c:v>
                </c:pt>
                <c:pt idx="90">
                  <c:v>2725.48</c:v>
                </c:pt>
                <c:pt idx="91">
                  <c:v>4718.74</c:v>
                </c:pt>
                <c:pt idx="92">
                  <c:v>5164.5</c:v>
                </c:pt>
                <c:pt idx="93">
                  <c:v>2572.96</c:v>
                </c:pt>
                <c:pt idx="94">
                  <c:v>7623.61</c:v>
                </c:pt>
                <c:pt idx="95">
                  <c:v>2048.6799999999998</c:v>
                </c:pt>
                <c:pt idx="96">
                  <c:v>1689.61</c:v>
                </c:pt>
                <c:pt idx="97">
                  <c:v>6055.26</c:v>
                </c:pt>
                <c:pt idx="98">
                  <c:v>2325.69</c:v>
                </c:pt>
                <c:pt idx="99">
                  <c:v>6531.16</c:v>
                </c:pt>
                <c:pt idx="100">
                  <c:v>6699.63</c:v>
                </c:pt>
                <c:pt idx="101">
                  <c:v>4059.02</c:v>
                </c:pt>
                <c:pt idx="102">
                  <c:v>3311.06</c:v>
                </c:pt>
                <c:pt idx="103">
                  <c:v>5935.12</c:v>
                </c:pt>
                <c:pt idx="104">
                  <c:v>5190.96</c:v>
                </c:pt>
                <c:pt idx="105">
                  <c:v>5597.65</c:v>
                </c:pt>
                <c:pt idx="106">
                  <c:v>5794.44</c:v>
                </c:pt>
                <c:pt idx="107">
                  <c:v>2817.97</c:v>
                </c:pt>
                <c:pt idx="108">
                  <c:v>3484.7</c:v>
                </c:pt>
                <c:pt idx="109">
                  <c:v>2590.7600000000002</c:v>
                </c:pt>
                <c:pt idx="110">
                  <c:v>5341.19</c:v>
                </c:pt>
                <c:pt idx="111">
                  <c:v>3122.45</c:v>
                </c:pt>
                <c:pt idx="112">
                  <c:v>3918.69</c:v>
                </c:pt>
                <c:pt idx="113">
                  <c:v>6801.56</c:v>
                </c:pt>
                <c:pt idx="114">
                  <c:v>2936.15</c:v>
                </c:pt>
                <c:pt idx="115">
                  <c:v>5824.63</c:v>
                </c:pt>
                <c:pt idx="116">
                  <c:v>5569.58</c:v>
                </c:pt>
                <c:pt idx="117">
                  <c:v>7182.89</c:v>
                </c:pt>
                <c:pt idx="118">
                  <c:v>5885.53</c:v>
                </c:pt>
                <c:pt idx="119">
                  <c:v>2362.5100000000002</c:v>
                </c:pt>
                <c:pt idx="120">
                  <c:v>6202.83</c:v>
                </c:pt>
                <c:pt idx="121">
                  <c:v>5119.59</c:v>
                </c:pt>
                <c:pt idx="122">
                  <c:v>8071.36</c:v>
                </c:pt>
                <c:pt idx="123">
                  <c:v>3605.19</c:v>
                </c:pt>
                <c:pt idx="124">
                  <c:v>3785.9</c:v>
                </c:pt>
                <c:pt idx="125">
                  <c:v>5350.6</c:v>
                </c:pt>
                <c:pt idx="126">
                  <c:v>3780.25</c:v>
                </c:pt>
                <c:pt idx="127">
                  <c:v>3351.59</c:v>
                </c:pt>
                <c:pt idx="128">
                  <c:v>4554.6499999999996</c:v>
                </c:pt>
                <c:pt idx="129">
                  <c:v>7446.67</c:v>
                </c:pt>
                <c:pt idx="130">
                  <c:v>4176.8599999999997</c:v>
                </c:pt>
                <c:pt idx="131">
                  <c:v>6311.43</c:v>
                </c:pt>
                <c:pt idx="132">
                  <c:v>3523.87</c:v>
                </c:pt>
                <c:pt idx="133">
                  <c:v>5260.74</c:v>
                </c:pt>
                <c:pt idx="134">
                  <c:v>5856.28</c:v>
                </c:pt>
                <c:pt idx="135">
                  <c:v>4938.92</c:v>
                </c:pt>
                <c:pt idx="136">
                  <c:v>4229.18</c:v>
                </c:pt>
                <c:pt idx="137">
                  <c:v>4351.18</c:v>
                </c:pt>
                <c:pt idx="138">
                  <c:v>4886.92</c:v>
                </c:pt>
                <c:pt idx="139">
                  <c:v>4509.24</c:v>
                </c:pt>
                <c:pt idx="140">
                  <c:v>7666.16</c:v>
                </c:pt>
                <c:pt idx="141">
                  <c:v>4676.5200000000004</c:v>
                </c:pt>
                <c:pt idx="142">
                  <c:v>3202.93</c:v>
                </c:pt>
                <c:pt idx="143">
                  <c:v>3512.73</c:v>
                </c:pt>
                <c:pt idx="144">
                  <c:v>5644.66</c:v>
                </c:pt>
                <c:pt idx="145">
                  <c:v>3770.54</c:v>
                </c:pt>
                <c:pt idx="146">
                  <c:v>7770.71</c:v>
                </c:pt>
                <c:pt idx="147">
                  <c:v>6281.74</c:v>
                </c:pt>
                <c:pt idx="148">
                  <c:v>5222.17</c:v>
                </c:pt>
                <c:pt idx="149">
                  <c:v>3179.67</c:v>
                </c:pt>
                <c:pt idx="150">
                  <c:v>5038.03</c:v>
                </c:pt>
                <c:pt idx="151">
                  <c:v>3643.71</c:v>
                </c:pt>
                <c:pt idx="152">
                  <c:v>5674.24</c:v>
                </c:pt>
                <c:pt idx="153">
                  <c:v>5260.42</c:v>
                </c:pt>
                <c:pt idx="154">
                  <c:v>6672.47</c:v>
                </c:pt>
                <c:pt idx="155">
                  <c:v>3564.46</c:v>
                </c:pt>
                <c:pt idx="156">
                  <c:v>5419.32</c:v>
                </c:pt>
                <c:pt idx="157">
                  <c:v>5913.71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A47-46C7-AAEF-78ABE18373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776131552"/>
        <c:axId val="-776128832"/>
      </c:scatterChart>
      <c:valAx>
        <c:axId val="-776131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Preta (Pessoas)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776128832"/>
        <c:crosses val="autoZero"/>
        <c:crossBetween val="midCat"/>
      </c:valAx>
      <c:valAx>
        <c:axId val="-77612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Rendimento mensal (R$)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7761315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dk1">
                      <a:tint val="88500"/>
                      <a:shade val="51000"/>
                      <a:satMod val="130000"/>
                    </a:schemeClr>
                  </a:gs>
                  <a:gs pos="80000">
                    <a:schemeClr val="dk1">
                      <a:tint val="88500"/>
                      <a:shade val="93000"/>
                      <a:satMod val="130000"/>
                    </a:schemeClr>
                  </a:gs>
                  <a:gs pos="100000">
                    <a:schemeClr val="dk1">
                      <a:tint val="885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trendline>
            <c:spPr>
              <a:ln w="9525" cap="rnd">
                <a:solidFill>
                  <a:schemeClr val="dk1">
                    <a:tint val="88500"/>
                  </a:schemeClr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9.9192038495187998E-2"/>
                  <c:y val="-0.3921453047535724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R= </a:t>
                    </a:r>
                    <a:r>
                      <a:rPr lang="pt-BR" sz="1000" b="0" i="0" u="none" strike="noStrike" baseline="0">
                        <a:effectLst/>
                      </a:rPr>
                      <a:t>0,05</a:t>
                    </a:r>
                    <a:r>
                      <a:rPr lang="pt-BR" sz="1000" b="0" i="0" u="none" strike="noStrike" baseline="0"/>
                      <a:t> 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</c:trendlineLbl>
          </c:trendline>
          <c:xVal>
            <c:numRef>
              <c:f>correlação!$O$3:$O$160</c:f>
              <c:numCache>
                <c:formatCode>General</c:formatCode>
                <c:ptCount val="158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6</c:v>
                </c:pt>
                <c:pt idx="10">
                  <c:v>1</c:v>
                </c:pt>
                <c:pt idx="11">
                  <c:v>6</c:v>
                </c:pt>
                <c:pt idx="12">
                  <c:v>9</c:v>
                </c:pt>
                <c:pt idx="13">
                  <c:v>4</c:v>
                </c:pt>
                <c:pt idx="14">
                  <c:v>4</c:v>
                </c:pt>
                <c:pt idx="15">
                  <c:v>7</c:v>
                </c:pt>
                <c:pt idx="16">
                  <c:v>7</c:v>
                </c:pt>
                <c:pt idx="17">
                  <c:v>6</c:v>
                </c:pt>
                <c:pt idx="18">
                  <c:v>5</c:v>
                </c:pt>
                <c:pt idx="19">
                  <c:v>5</c:v>
                </c:pt>
                <c:pt idx="20">
                  <c:v>10</c:v>
                </c:pt>
                <c:pt idx="21">
                  <c:v>8</c:v>
                </c:pt>
                <c:pt idx="22">
                  <c:v>8</c:v>
                </c:pt>
                <c:pt idx="23">
                  <c:v>5</c:v>
                </c:pt>
                <c:pt idx="24">
                  <c:v>3</c:v>
                </c:pt>
                <c:pt idx="25">
                  <c:v>5</c:v>
                </c:pt>
                <c:pt idx="26">
                  <c:v>17</c:v>
                </c:pt>
                <c:pt idx="27">
                  <c:v>5</c:v>
                </c:pt>
                <c:pt idx="28">
                  <c:v>2</c:v>
                </c:pt>
                <c:pt idx="29">
                  <c:v>14</c:v>
                </c:pt>
                <c:pt idx="30">
                  <c:v>5</c:v>
                </c:pt>
                <c:pt idx="31">
                  <c:v>5</c:v>
                </c:pt>
                <c:pt idx="32">
                  <c:v>21</c:v>
                </c:pt>
                <c:pt idx="33">
                  <c:v>8</c:v>
                </c:pt>
                <c:pt idx="34">
                  <c:v>12</c:v>
                </c:pt>
                <c:pt idx="35">
                  <c:v>8</c:v>
                </c:pt>
                <c:pt idx="36">
                  <c:v>12</c:v>
                </c:pt>
                <c:pt idx="37">
                  <c:v>16</c:v>
                </c:pt>
                <c:pt idx="38">
                  <c:v>14</c:v>
                </c:pt>
                <c:pt idx="39">
                  <c:v>5</c:v>
                </c:pt>
                <c:pt idx="40">
                  <c:v>0</c:v>
                </c:pt>
                <c:pt idx="41">
                  <c:v>8</c:v>
                </c:pt>
                <c:pt idx="42">
                  <c:v>15</c:v>
                </c:pt>
                <c:pt idx="43">
                  <c:v>17</c:v>
                </c:pt>
                <c:pt idx="44">
                  <c:v>1</c:v>
                </c:pt>
                <c:pt idx="45">
                  <c:v>7</c:v>
                </c:pt>
                <c:pt idx="46">
                  <c:v>8</c:v>
                </c:pt>
                <c:pt idx="47">
                  <c:v>16</c:v>
                </c:pt>
                <c:pt idx="48">
                  <c:v>20</c:v>
                </c:pt>
                <c:pt idx="49">
                  <c:v>6</c:v>
                </c:pt>
                <c:pt idx="50">
                  <c:v>8</c:v>
                </c:pt>
                <c:pt idx="51">
                  <c:v>10</c:v>
                </c:pt>
                <c:pt idx="52">
                  <c:v>9</c:v>
                </c:pt>
                <c:pt idx="53">
                  <c:v>17</c:v>
                </c:pt>
                <c:pt idx="54">
                  <c:v>4</c:v>
                </c:pt>
                <c:pt idx="55">
                  <c:v>14</c:v>
                </c:pt>
                <c:pt idx="56">
                  <c:v>6</c:v>
                </c:pt>
                <c:pt idx="57">
                  <c:v>33</c:v>
                </c:pt>
                <c:pt idx="58">
                  <c:v>15</c:v>
                </c:pt>
                <c:pt idx="59">
                  <c:v>6</c:v>
                </c:pt>
                <c:pt idx="60">
                  <c:v>7</c:v>
                </c:pt>
                <c:pt idx="61">
                  <c:v>19</c:v>
                </c:pt>
                <c:pt idx="62">
                  <c:v>14</c:v>
                </c:pt>
                <c:pt idx="63">
                  <c:v>18</c:v>
                </c:pt>
                <c:pt idx="64">
                  <c:v>14</c:v>
                </c:pt>
                <c:pt idx="65">
                  <c:v>14</c:v>
                </c:pt>
                <c:pt idx="66">
                  <c:v>2</c:v>
                </c:pt>
                <c:pt idx="67">
                  <c:v>6</c:v>
                </c:pt>
                <c:pt idx="68">
                  <c:v>5</c:v>
                </c:pt>
                <c:pt idx="69">
                  <c:v>6</c:v>
                </c:pt>
                <c:pt idx="70">
                  <c:v>18</c:v>
                </c:pt>
                <c:pt idx="71">
                  <c:v>7</c:v>
                </c:pt>
                <c:pt idx="72">
                  <c:v>24</c:v>
                </c:pt>
                <c:pt idx="73">
                  <c:v>7</c:v>
                </c:pt>
                <c:pt idx="74">
                  <c:v>0</c:v>
                </c:pt>
                <c:pt idx="75">
                  <c:v>1</c:v>
                </c:pt>
                <c:pt idx="76">
                  <c:v>14</c:v>
                </c:pt>
                <c:pt idx="77">
                  <c:v>7</c:v>
                </c:pt>
                <c:pt idx="78">
                  <c:v>12</c:v>
                </c:pt>
                <c:pt idx="79">
                  <c:v>28</c:v>
                </c:pt>
                <c:pt idx="80">
                  <c:v>17</c:v>
                </c:pt>
                <c:pt idx="81">
                  <c:v>2</c:v>
                </c:pt>
                <c:pt idx="82">
                  <c:v>5</c:v>
                </c:pt>
                <c:pt idx="83">
                  <c:v>11</c:v>
                </c:pt>
                <c:pt idx="84">
                  <c:v>17</c:v>
                </c:pt>
                <c:pt idx="85">
                  <c:v>11</c:v>
                </c:pt>
                <c:pt idx="86">
                  <c:v>14</c:v>
                </c:pt>
                <c:pt idx="87">
                  <c:v>62</c:v>
                </c:pt>
                <c:pt idx="88">
                  <c:v>12</c:v>
                </c:pt>
                <c:pt idx="89">
                  <c:v>2</c:v>
                </c:pt>
                <c:pt idx="90">
                  <c:v>8</c:v>
                </c:pt>
                <c:pt idx="91">
                  <c:v>16</c:v>
                </c:pt>
                <c:pt idx="92">
                  <c:v>20</c:v>
                </c:pt>
                <c:pt idx="93">
                  <c:v>8</c:v>
                </c:pt>
                <c:pt idx="94">
                  <c:v>17</c:v>
                </c:pt>
                <c:pt idx="95">
                  <c:v>3</c:v>
                </c:pt>
                <c:pt idx="96">
                  <c:v>22</c:v>
                </c:pt>
                <c:pt idx="97">
                  <c:v>5</c:v>
                </c:pt>
                <c:pt idx="98">
                  <c:v>4</c:v>
                </c:pt>
                <c:pt idx="99">
                  <c:v>16</c:v>
                </c:pt>
                <c:pt idx="100">
                  <c:v>30</c:v>
                </c:pt>
                <c:pt idx="101">
                  <c:v>12</c:v>
                </c:pt>
                <c:pt idx="102">
                  <c:v>50</c:v>
                </c:pt>
                <c:pt idx="103">
                  <c:v>6</c:v>
                </c:pt>
                <c:pt idx="104">
                  <c:v>19</c:v>
                </c:pt>
                <c:pt idx="105">
                  <c:v>4</c:v>
                </c:pt>
                <c:pt idx="106">
                  <c:v>2</c:v>
                </c:pt>
                <c:pt idx="107">
                  <c:v>40</c:v>
                </c:pt>
                <c:pt idx="108">
                  <c:v>11</c:v>
                </c:pt>
                <c:pt idx="109">
                  <c:v>24</c:v>
                </c:pt>
                <c:pt idx="110">
                  <c:v>6</c:v>
                </c:pt>
                <c:pt idx="111">
                  <c:v>22</c:v>
                </c:pt>
                <c:pt idx="112">
                  <c:v>22</c:v>
                </c:pt>
                <c:pt idx="113">
                  <c:v>13</c:v>
                </c:pt>
                <c:pt idx="114">
                  <c:v>11</c:v>
                </c:pt>
                <c:pt idx="115">
                  <c:v>3</c:v>
                </c:pt>
                <c:pt idx="116">
                  <c:v>18</c:v>
                </c:pt>
                <c:pt idx="117">
                  <c:v>13</c:v>
                </c:pt>
                <c:pt idx="118">
                  <c:v>14</c:v>
                </c:pt>
                <c:pt idx="119">
                  <c:v>24</c:v>
                </c:pt>
                <c:pt idx="120">
                  <c:v>6</c:v>
                </c:pt>
                <c:pt idx="121">
                  <c:v>6</c:v>
                </c:pt>
                <c:pt idx="122">
                  <c:v>11</c:v>
                </c:pt>
                <c:pt idx="123">
                  <c:v>11</c:v>
                </c:pt>
                <c:pt idx="124">
                  <c:v>35</c:v>
                </c:pt>
                <c:pt idx="125">
                  <c:v>17</c:v>
                </c:pt>
                <c:pt idx="126">
                  <c:v>15</c:v>
                </c:pt>
                <c:pt idx="127">
                  <c:v>14</c:v>
                </c:pt>
                <c:pt idx="128">
                  <c:v>10</c:v>
                </c:pt>
                <c:pt idx="129">
                  <c:v>7</c:v>
                </c:pt>
                <c:pt idx="130">
                  <c:v>10</c:v>
                </c:pt>
                <c:pt idx="131">
                  <c:v>19</c:v>
                </c:pt>
                <c:pt idx="132">
                  <c:v>4</c:v>
                </c:pt>
                <c:pt idx="133">
                  <c:v>14</c:v>
                </c:pt>
                <c:pt idx="134">
                  <c:v>19</c:v>
                </c:pt>
                <c:pt idx="135">
                  <c:v>10</c:v>
                </c:pt>
                <c:pt idx="136">
                  <c:v>23</c:v>
                </c:pt>
                <c:pt idx="137">
                  <c:v>13</c:v>
                </c:pt>
                <c:pt idx="138">
                  <c:v>6</c:v>
                </c:pt>
                <c:pt idx="139">
                  <c:v>19</c:v>
                </c:pt>
                <c:pt idx="140">
                  <c:v>16</c:v>
                </c:pt>
                <c:pt idx="141">
                  <c:v>10</c:v>
                </c:pt>
                <c:pt idx="142">
                  <c:v>4</c:v>
                </c:pt>
                <c:pt idx="143">
                  <c:v>9</c:v>
                </c:pt>
                <c:pt idx="144">
                  <c:v>10</c:v>
                </c:pt>
                <c:pt idx="145">
                  <c:v>23</c:v>
                </c:pt>
                <c:pt idx="146">
                  <c:v>16</c:v>
                </c:pt>
                <c:pt idx="147">
                  <c:v>5</c:v>
                </c:pt>
                <c:pt idx="148">
                  <c:v>27</c:v>
                </c:pt>
                <c:pt idx="149">
                  <c:v>5</c:v>
                </c:pt>
                <c:pt idx="150">
                  <c:v>41</c:v>
                </c:pt>
                <c:pt idx="151">
                  <c:v>41</c:v>
                </c:pt>
                <c:pt idx="152">
                  <c:v>24</c:v>
                </c:pt>
                <c:pt idx="153">
                  <c:v>11</c:v>
                </c:pt>
                <c:pt idx="154">
                  <c:v>25</c:v>
                </c:pt>
                <c:pt idx="155">
                  <c:v>20</c:v>
                </c:pt>
                <c:pt idx="156">
                  <c:v>36</c:v>
                </c:pt>
                <c:pt idx="157">
                  <c:v>10</c:v>
                </c:pt>
              </c:numCache>
            </c:numRef>
          </c:xVal>
          <c:yVal>
            <c:numRef>
              <c:f>correlação!$P$3:$P$160</c:f>
              <c:numCache>
                <c:formatCode>General</c:formatCode>
                <c:ptCount val="158"/>
                <c:pt idx="0">
                  <c:v>3237.8</c:v>
                </c:pt>
                <c:pt idx="1">
                  <c:v>2530</c:v>
                </c:pt>
                <c:pt idx="2">
                  <c:v>7950.29</c:v>
                </c:pt>
                <c:pt idx="3">
                  <c:v>4299.2</c:v>
                </c:pt>
                <c:pt idx="4">
                  <c:v>2845.32</c:v>
                </c:pt>
                <c:pt idx="5">
                  <c:v>4016.6</c:v>
                </c:pt>
                <c:pt idx="6">
                  <c:v>3327.27</c:v>
                </c:pt>
                <c:pt idx="7">
                  <c:v>2512.84</c:v>
                </c:pt>
                <c:pt idx="8">
                  <c:v>4254.45</c:v>
                </c:pt>
                <c:pt idx="9">
                  <c:v>4323.79</c:v>
                </c:pt>
                <c:pt idx="10">
                  <c:v>2217.83</c:v>
                </c:pt>
                <c:pt idx="11">
                  <c:v>3088.37</c:v>
                </c:pt>
                <c:pt idx="12">
                  <c:v>3362.88</c:v>
                </c:pt>
                <c:pt idx="13">
                  <c:v>3574.14</c:v>
                </c:pt>
                <c:pt idx="14">
                  <c:v>4825.84</c:v>
                </c:pt>
                <c:pt idx="15">
                  <c:v>5613.3</c:v>
                </c:pt>
                <c:pt idx="16">
                  <c:v>3580.2</c:v>
                </c:pt>
                <c:pt idx="17">
                  <c:v>4614.7700000000004</c:v>
                </c:pt>
                <c:pt idx="18">
                  <c:v>2380.19</c:v>
                </c:pt>
                <c:pt idx="19">
                  <c:v>3831.18</c:v>
                </c:pt>
                <c:pt idx="20">
                  <c:v>4900.09</c:v>
                </c:pt>
                <c:pt idx="21">
                  <c:v>2537.12</c:v>
                </c:pt>
                <c:pt idx="22">
                  <c:v>3260.75</c:v>
                </c:pt>
                <c:pt idx="23">
                  <c:v>5985.72</c:v>
                </c:pt>
                <c:pt idx="24">
                  <c:v>3557.88</c:v>
                </c:pt>
                <c:pt idx="25">
                  <c:v>4415.99</c:v>
                </c:pt>
                <c:pt idx="26">
                  <c:v>5382.12</c:v>
                </c:pt>
                <c:pt idx="27">
                  <c:v>5859.96</c:v>
                </c:pt>
                <c:pt idx="28">
                  <c:v>2566.4499999999998</c:v>
                </c:pt>
                <c:pt idx="29">
                  <c:v>3181.57</c:v>
                </c:pt>
                <c:pt idx="30">
                  <c:v>4406.1000000000004</c:v>
                </c:pt>
                <c:pt idx="31">
                  <c:v>4426.05</c:v>
                </c:pt>
                <c:pt idx="32">
                  <c:v>3335.57</c:v>
                </c:pt>
                <c:pt idx="33">
                  <c:v>4244.8900000000003</c:v>
                </c:pt>
                <c:pt idx="34">
                  <c:v>4487.8100000000004</c:v>
                </c:pt>
                <c:pt idx="35">
                  <c:v>6268.91</c:v>
                </c:pt>
                <c:pt idx="36">
                  <c:v>6634.88</c:v>
                </c:pt>
                <c:pt idx="37">
                  <c:v>4491.37</c:v>
                </c:pt>
                <c:pt idx="38">
                  <c:v>5069.12</c:v>
                </c:pt>
                <c:pt idx="39">
                  <c:v>4230.09</c:v>
                </c:pt>
                <c:pt idx="40">
                  <c:v>4268.7299999999996</c:v>
                </c:pt>
                <c:pt idx="41">
                  <c:v>4050.8</c:v>
                </c:pt>
                <c:pt idx="42">
                  <c:v>5242.8100000000004</c:v>
                </c:pt>
                <c:pt idx="43">
                  <c:v>3710.15</c:v>
                </c:pt>
                <c:pt idx="44">
                  <c:v>2750.22</c:v>
                </c:pt>
                <c:pt idx="45">
                  <c:v>2790.25</c:v>
                </c:pt>
                <c:pt idx="46">
                  <c:v>6588.83</c:v>
                </c:pt>
                <c:pt idx="47">
                  <c:v>3399.82</c:v>
                </c:pt>
                <c:pt idx="48">
                  <c:v>4008.58</c:v>
                </c:pt>
                <c:pt idx="49">
                  <c:v>5091.72</c:v>
                </c:pt>
                <c:pt idx="50">
                  <c:v>6823.31</c:v>
                </c:pt>
                <c:pt idx="51">
                  <c:v>2789.82</c:v>
                </c:pt>
                <c:pt idx="52">
                  <c:v>4183.3999999999996</c:v>
                </c:pt>
                <c:pt idx="53">
                  <c:v>3840.75</c:v>
                </c:pt>
                <c:pt idx="54">
                  <c:v>3130.96</c:v>
                </c:pt>
                <c:pt idx="55">
                  <c:v>11174.38</c:v>
                </c:pt>
                <c:pt idx="56">
                  <c:v>6785.02</c:v>
                </c:pt>
                <c:pt idx="57">
                  <c:v>2588.5100000000002</c:v>
                </c:pt>
                <c:pt idx="58">
                  <c:v>8105.94</c:v>
                </c:pt>
                <c:pt idx="59">
                  <c:v>2610.6</c:v>
                </c:pt>
                <c:pt idx="60">
                  <c:v>2428.4</c:v>
                </c:pt>
                <c:pt idx="61">
                  <c:v>7106.83</c:v>
                </c:pt>
                <c:pt idx="62">
                  <c:v>4315.0600000000004</c:v>
                </c:pt>
                <c:pt idx="63">
                  <c:v>3971.88</c:v>
                </c:pt>
                <c:pt idx="64">
                  <c:v>7006.45</c:v>
                </c:pt>
                <c:pt idx="65">
                  <c:v>4080.65</c:v>
                </c:pt>
                <c:pt idx="66">
                  <c:v>3013.41</c:v>
                </c:pt>
                <c:pt idx="67">
                  <c:v>5959.49</c:v>
                </c:pt>
                <c:pt idx="68">
                  <c:v>3095.15</c:v>
                </c:pt>
                <c:pt idx="69">
                  <c:v>3472.33</c:v>
                </c:pt>
                <c:pt idx="70">
                  <c:v>2262.0700000000002</c:v>
                </c:pt>
                <c:pt idx="71">
                  <c:v>2437.2399999999998</c:v>
                </c:pt>
                <c:pt idx="72">
                  <c:v>7131.36</c:v>
                </c:pt>
                <c:pt idx="73">
                  <c:v>7353.7</c:v>
                </c:pt>
                <c:pt idx="74">
                  <c:v>3199.09</c:v>
                </c:pt>
                <c:pt idx="75">
                  <c:v>4739.09</c:v>
                </c:pt>
                <c:pt idx="76">
                  <c:v>5643.6</c:v>
                </c:pt>
                <c:pt idx="77">
                  <c:v>3732.94</c:v>
                </c:pt>
                <c:pt idx="78">
                  <c:v>6535.01</c:v>
                </c:pt>
                <c:pt idx="79">
                  <c:v>5429.72</c:v>
                </c:pt>
                <c:pt idx="80">
                  <c:v>3930.85</c:v>
                </c:pt>
                <c:pt idx="81">
                  <c:v>5416.28</c:v>
                </c:pt>
                <c:pt idx="82">
                  <c:v>2669.71</c:v>
                </c:pt>
                <c:pt idx="83">
                  <c:v>4668.88</c:v>
                </c:pt>
                <c:pt idx="84">
                  <c:v>5944.66</c:v>
                </c:pt>
                <c:pt idx="85">
                  <c:v>4572.63</c:v>
                </c:pt>
                <c:pt idx="86">
                  <c:v>1516.92</c:v>
                </c:pt>
                <c:pt idx="87">
                  <c:v>3979.66</c:v>
                </c:pt>
                <c:pt idx="88">
                  <c:v>2132.1999999999998</c:v>
                </c:pt>
                <c:pt idx="89">
                  <c:v>7272.8</c:v>
                </c:pt>
                <c:pt idx="90">
                  <c:v>2725.48</c:v>
                </c:pt>
                <c:pt idx="91">
                  <c:v>4718.74</c:v>
                </c:pt>
                <c:pt idx="92">
                  <c:v>5164.5</c:v>
                </c:pt>
                <c:pt idx="93">
                  <c:v>2572.96</c:v>
                </c:pt>
                <c:pt idx="94">
                  <c:v>7623.61</c:v>
                </c:pt>
                <c:pt idx="95">
                  <c:v>2048.6799999999998</c:v>
                </c:pt>
                <c:pt idx="96">
                  <c:v>1689.61</c:v>
                </c:pt>
                <c:pt idx="97">
                  <c:v>6055.26</c:v>
                </c:pt>
                <c:pt idx="98">
                  <c:v>2325.69</c:v>
                </c:pt>
                <c:pt idx="99">
                  <c:v>6531.16</c:v>
                </c:pt>
                <c:pt idx="100">
                  <c:v>6699.63</c:v>
                </c:pt>
                <c:pt idx="101">
                  <c:v>4059.02</c:v>
                </c:pt>
                <c:pt idx="102">
                  <c:v>3311.06</c:v>
                </c:pt>
                <c:pt idx="103">
                  <c:v>5935.12</c:v>
                </c:pt>
                <c:pt idx="104">
                  <c:v>5190.96</c:v>
                </c:pt>
                <c:pt idx="105">
                  <c:v>5597.65</c:v>
                </c:pt>
                <c:pt idx="106">
                  <c:v>5794.44</c:v>
                </c:pt>
                <c:pt idx="107">
                  <c:v>2817.97</c:v>
                </c:pt>
                <c:pt idx="108">
                  <c:v>3484.7</c:v>
                </c:pt>
                <c:pt idx="109">
                  <c:v>2590.7600000000002</c:v>
                </c:pt>
                <c:pt idx="110">
                  <c:v>5341.19</c:v>
                </c:pt>
                <c:pt idx="111">
                  <c:v>3122.45</c:v>
                </c:pt>
                <c:pt idx="112">
                  <c:v>3918.69</c:v>
                </c:pt>
                <c:pt idx="113">
                  <c:v>6801.56</c:v>
                </c:pt>
                <c:pt idx="114">
                  <c:v>2936.15</c:v>
                </c:pt>
                <c:pt idx="115">
                  <c:v>5824.63</c:v>
                </c:pt>
                <c:pt idx="116">
                  <c:v>5569.58</c:v>
                </c:pt>
                <c:pt idx="117">
                  <c:v>7182.89</c:v>
                </c:pt>
                <c:pt idx="118">
                  <c:v>5885.53</c:v>
                </c:pt>
                <c:pt idx="119">
                  <c:v>2362.5100000000002</c:v>
                </c:pt>
                <c:pt idx="120">
                  <c:v>6202.83</c:v>
                </c:pt>
                <c:pt idx="121">
                  <c:v>5119.59</c:v>
                </c:pt>
                <c:pt idx="122">
                  <c:v>8071.36</c:v>
                </c:pt>
                <c:pt idx="123">
                  <c:v>3605.19</c:v>
                </c:pt>
                <c:pt idx="124">
                  <c:v>3785.9</c:v>
                </c:pt>
                <c:pt idx="125">
                  <c:v>5350.6</c:v>
                </c:pt>
                <c:pt idx="126">
                  <c:v>3780.25</c:v>
                </c:pt>
                <c:pt idx="127">
                  <c:v>3351.59</c:v>
                </c:pt>
                <c:pt idx="128">
                  <c:v>4554.6499999999996</c:v>
                </c:pt>
                <c:pt idx="129">
                  <c:v>7446.67</c:v>
                </c:pt>
                <c:pt idx="130">
                  <c:v>4176.8599999999997</c:v>
                </c:pt>
                <c:pt idx="131">
                  <c:v>6311.43</c:v>
                </c:pt>
                <c:pt idx="132">
                  <c:v>3523.87</c:v>
                </c:pt>
                <c:pt idx="133">
                  <c:v>5260.74</c:v>
                </c:pt>
                <c:pt idx="134">
                  <c:v>5856.28</c:v>
                </c:pt>
                <c:pt idx="135">
                  <c:v>4938.92</c:v>
                </c:pt>
                <c:pt idx="136">
                  <c:v>4229.18</c:v>
                </c:pt>
                <c:pt idx="137">
                  <c:v>4351.18</c:v>
                </c:pt>
                <c:pt idx="138">
                  <c:v>4886.92</c:v>
                </c:pt>
                <c:pt idx="139">
                  <c:v>4509.24</c:v>
                </c:pt>
                <c:pt idx="140">
                  <c:v>7666.16</c:v>
                </c:pt>
                <c:pt idx="141">
                  <c:v>4676.5200000000004</c:v>
                </c:pt>
                <c:pt idx="142">
                  <c:v>3202.93</c:v>
                </c:pt>
                <c:pt idx="143">
                  <c:v>3512.73</c:v>
                </c:pt>
                <c:pt idx="144">
                  <c:v>5644.66</c:v>
                </c:pt>
                <c:pt idx="145">
                  <c:v>3770.54</c:v>
                </c:pt>
                <c:pt idx="146">
                  <c:v>7770.71</c:v>
                </c:pt>
                <c:pt idx="147">
                  <c:v>6281.74</c:v>
                </c:pt>
                <c:pt idx="148">
                  <c:v>5222.17</c:v>
                </c:pt>
                <c:pt idx="149">
                  <c:v>3179.67</c:v>
                </c:pt>
                <c:pt idx="150">
                  <c:v>5038.03</c:v>
                </c:pt>
                <c:pt idx="151">
                  <c:v>3643.71</c:v>
                </c:pt>
                <c:pt idx="152">
                  <c:v>5674.24</c:v>
                </c:pt>
                <c:pt idx="153">
                  <c:v>5260.42</c:v>
                </c:pt>
                <c:pt idx="154">
                  <c:v>6672.47</c:v>
                </c:pt>
                <c:pt idx="155">
                  <c:v>3564.46</c:v>
                </c:pt>
                <c:pt idx="156">
                  <c:v>5419.32</c:v>
                </c:pt>
                <c:pt idx="157">
                  <c:v>5913.71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EC2-4378-80CA-51C655CEF7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776134272"/>
        <c:axId val="-776130464"/>
      </c:scatterChart>
      <c:valAx>
        <c:axId val="-776134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Amarela (Pessoas)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776130464"/>
        <c:crosses val="autoZero"/>
        <c:crossBetween val="midCat"/>
      </c:valAx>
      <c:valAx>
        <c:axId val="-776130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Rendimento mensal (R$)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7761342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dk1">
                      <a:tint val="88500"/>
                      <a:shade val="51000"/>
                      <a:satMod val="130000"/>
                    </a:schemeClr>
                  </a:gs>
                  <a:gs pos="80000">
                    <a:schemeClr val="dk1">
                      <a:tint val="88500"/>
                      <a:shade val="93000"/>
                      <a:satMod val="130000"/>
                    </a:schemeClr>
                  </a:gs>
                  <a:gs pos="100000">
                    <a:schemeClr val="dk1">
                      <a:tint val="885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trendline>
            <c:spPr>
              <a:ln w="9525" cap="rnd">
                <a:solidFill>
                  <a:schemeClr val="dk1">
                    <a:tint val="88500"/>
                  </a:schemeClr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5630183727034122"/>
                  <c:y val="-0.4549004811898512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 = </a:t>
                    </a:r>
                    <a:r>
                      <a:rPr lang="pt-BR" sz="1000" b="0" i="0" u="none" strike="noStrike" baseline="0">
                        <a:effectLst/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-0,16</a:t>
                    </a:r>
                    <a:r>
                      <a:rPr lang="pt-BR" sz="1000" b="0" i="0" u="none" strike="noStrike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</c:trendlineLbl>
          </c:trendline>
          <c:xVal>
            <c:numRef>
              <c:f>correlação!$V$3:$V$160</c:f>
              <c:numCache>
                <c:formatCode>General</c:formatCode>
                <c:ptCount val="158"/>
                <c:pt idx="0">
                  <c:v>34</c:v>
                </c:pt>
                <c:pt idx="1">
                  <c:v>54</c:v>
                </c:pt>
                <c:pt idx="2">
                  <c:v>54</c:v>
                </c:pt>
                <c:pt idx="3">
                  <c:v>66</c:v>
                </c:pt>
                <c:pt idx="4">
                  <c:v>84</c:v>
                </c:pt>
                <c:pt idx="5">
                  <c:v>81</c:v>
                </c:pt>
                <c:pt idx="6">
                  <c:v>179</c:v>
                </c:pt>
                <c:pt idx="7">
                  <c:v>88</c:v>
                </c:pt>
                <c:pt idx="8">
                  <c:v>80</c:v>
                </c:pt>
                <c:pt idx="9">
                  <c:v>158</c:v>
                </c:pt>
                <c:pt idx="10">
                  <c:v>267</c:v>
                </c:pt>
                <c:pt idx="11">
                  <c:v>142</c:v>
                </c:pt>
                <c:pt idx="12">
                  <c:v>237</c:v>
                </c:pt>
                <c:pt idx="13">
                  <c:v>152</c:v>
                </c:pt>
                <c:pt idx="14">
                  <c:v>171</c:v>
                </c:pt>
                <c:pt idx="15">
                  <c:v>180</c:v>
                </c:pt>
                <c:pt idx="16">
                  <c:v>178</c:v>
                </c:pt>
                <c:pt idx="17">
                  <c:v>189</c:v>
                </c:pt>
                <c:pt idx="18">
                  <c:v>269</c:v>
                </c:pt>
                <c:pt idx="19">
                  <c:v>243</c:v>
                </c:pt>
                <c:pt idx="20">
                  <c:v>199</c:v>
                </c:pt>
                <c:pt idx="21">
                  <c:v>263</c:v>
                </c:pt>
                <c:pt idx="22">
                  <c:v>236</c:v>
                </c:pt>
                <c:pt idx="23">
                  <c:v>404</c:v>
                </c:pt>
                <c:pt idx="24">
                  <c:v>283</c:v>
                </c:pt>
                <c:pt idx="25">
                  <c:v>191</c:v>
                </c:pt>
                <c:pt idx="26">
                  <c:v>350</c:v>
                </c:pt>
                <c:pt idx="27">
                  <c:v>281</c:v>
                </c:pt>
                <c:pt idx="28">
                  <c:v>230</c:v>
                </c:pt>
                <c:pt idx="29">
                  <c:v>303</c:v>
                </c:pt>
                <c:pt idx="30">
                  <c:v>285</c:v>
                </c:pt>
                <c:pt idx="31">
                  <c:v>236</c:v>
                </c:pt>
                <c:pt idx="32">
                  <c:v>258</c:v>
                </c:pt>
                <c:pt idx="33">
                  <c:v>281</c:v>
                </c:pt>
                <c:pt idx="34">
                  <c:v>400</c:v>
                </c:pt>
                <c:pt idx="35">
                  <c:v>211</c:v>
                </c:pt>
                <c:pt idx="36">
                  <c:v>217</c:v>
                </c:pt>
                <c:pt idx="37">
                  <c:v>386</c:v>
                </c:pt>
                <c:pt idx="38">
                  <c:v>225</c:v>
                </c:pt>
                <c:pt idx="39">
                  <c:v>385</c:v>
                </c:pt>
                <c:pt idx="40">
                  <c:v>439</c:v>
                </c:pt>
                <c:pt idx="41">
                  <c:v>335</c:v>
                </c:pt>
                <c:pt idx="42">
                  <c:v>285</c:v>
                </c:pt>
                <c:pt idx="43">
                  <c:v>532</c:v>
                </c:pt>
                <c:pt idx="44">
                  <c:v>420</c:v>
                </c:pt>
                <c:pt idx="45">
                  <c:v>276</c:v>
                </c:pt>
                <c:pt idx="46">
                  <c:v>380</c:v>
                </c:pt>
                <c:pt idx="47">
                  <c:v>448</c:v>
                </c:pt>
                <c:pt idx="48">
                  <c:v>341</c:v>
                </c:pt>
                <c:pt idx="49">
                  <c:v>361</c:v>
                </c:pt>
                <c:pt idx="50">
                  <c:v>341</c:v>
                </c:pt>
                <c:pt idx="51">
                  <c:v>392</c:v>
                </c:pt>
                <c:pt idx="52">
                  <c:v>276</c:v>
                </c:pt>
                <c:pt idx="53">
                  <c:v>448</c:v>
                </c:pt>
                <c:pt idx="54">
                  <c:v>548</c:v>
                </c:pt>
                <c:pt idx="55">
                  <c:v>273</c:v>
                </c:pt>
                <c:pt idx="56">
                  <c:v>334</c:v>
                </c:pt>
                <c:pt idx="57">
                  <c:v>425</c:v>
                </c:pt>
                <c:pt idx="58">
                  <c:v>322</c:v>
                </c:pt>
                <c:pt idx="59">
                  <c:v>449</c:v>
                </c:pt>
                <c:pt idx="60">
                  <c:v>755</c:v>
                </c:pt>
                <c:pt idx="61">
                  <c:v>401</c:v>
                </c:pt>
                <c:pt idx="62">
                  <c:v>361</c:v>
                </c:pt>
                <c:pt idx="63">
                  <c:v>443</c:v>
                </c:pt>
                <c:pt idx="64">
                  <c:v>266</c:v>
                </c:pt>
                <c:pt idx="65">
                  <c:v>391</c:v>
                </c:pt>
                <c:pt idx="66">
                  <c:v>700</c:v>
                </c:pt>
                <c:pt idx="67">
                  <c:v>444</c:v>
                </c:pt>
                <c:pt idx="68">
                  <c:v>407</c:v>
                </c:pt>
                <c:pt idx="69">
                  <c:v>563</c:v>
                </c:pt>
                <c:pt idx="70">
                  <c:v>621</c:v>
                </c:pt>
                <c:pt idx="71">
                  <c:v>568</c:v>
                </c:pt>
                <c:pt idx="72">
                  <c:v>307</c:v>
                </c:pt>
                <c:pt idx="73">
                  <c:v>548</c:v>
                </c:pt>
                <c:pt idx="74">
                  <c:v>460</c:v>
                </c:pt>
                <c:pt idx="75">
                  <c:v>211</c:v>
                </c:pt>
                <c:pt idx="76">
                  <c:v>385</c:v>
                </c:pt>
                <c:pt idx="77">
                  <c:v>522</c:v>
                </c:pt>
                <c:pt idx="78">
                  <c:v>393</c:v>
                </c:pt>
                <c:pt idx="79">
                  <c:v>285</c:v>
                </c:pt>
                <c:pt idx="80">
                  <c:v>418</c:v>
                </c:pt>
                <c:pt idx="81">
                  <c:v>485</c:v>
                </c:pt>
                <c:pt idx="82">
                  <c:v>570</c:v>
                </c:pt>
                <c:pt idx="83">
                  <c:v>467</c:v>
                </c:pt>
                <c:pt idx="84">
                  <c:v>444</c:v>
                </c:pt>
                <c:pt idx="85">
                  <c:v>395</c:v>
                </c:pt>
                <c:pt idx="86">
                  <c:v>509</c:v>
                </c:pt>
                <c:pt idx="87">
                  <c:v>383</c:v>
                </c:pt>
                <c:pt idx="88">
                  <c:v>576</c:v>
                </c:pt>
                <c:pt idx="89">
                  <c:v>299</c:v>
                </c:pt>
                <c:pt idx="90">
                  <c:v>626</c:v>
                </c:pt>
                <c:pt idx="91">
                  <c:v>477</c:v>
                </c:pt>
                <c:pt idx="92">
                  <c:v>604</c:v>
                </c:pt>
                <c:pt idx="93">
                  <c:v>689</c:v>
                </c:pt>
                <c:pt idx="94">
                  <c:v>321</c:v>
                </c:pt>
                <c:pt idx="95">
                  <c:v>474</c:v>
                </c:pt>
                <c:pt idx="96">
                  <c:v>746</c:v>
                </c:pt>
                <c:pt idx="97">
                  <c:v>384</c:v>
                </c:pt>
                <c:pt idx="98">
                  <c:v>457</c:v>
                </c:pt>
                <c:pt idx="99">
                  <c:v>429</c:v>
                </c:pt>
                <c:pt idx="100">
                  <c:v>379</c:v>
                </c:pt>
                <c:pt idx="101">
                  <c:v>504</c:v>
                </c:pt>
                <c:pt idx="102">
                  <c:v>617</c:v>
                </c:pt>
                <c:pt idx="103">
                  <c:v>273</c:v>
                </c:pt>
                <c:pt idx="104">
                  <c:v>527</c:v>
                </c:pt>
                <c:pt idx="105">
                  <c:v>272</c:v>
                </c:pt>
                <c:pt idx="106">
                  <c:v>374</c:v>
                </c:pt>
                <c:pt idx="107">
                  <c:v>540</c:v>
                </c:pt>
                <c:pt idx="108">
                  <c:v>576</c:v>
                </c:pt>
                <c:pt idx="109">
                  <c:v>652</c:v>
                </c:pt>
                <c:pt idx="110">
                  <c:v>247</c:v>
                </c:pt>
                <c:pt idx="111">
                  <c:v>387</c:v>
                </c:pt>
                <c:pt idx="112">
                  <c:v>615</c:v>
                </c:pt>
                <c:pt idx="113">
                  <c:v>521</c:v>
                </c:pt>
                <c:pt idx="114">
                  <c:v>691</c:v>
                </c:pt>
                <c:pt idx="115">
                  <c:v>452</c:v>
                </c:pt>
                <c:pt idx="116">
                  <c:v>414</c:v>
                </c:pt>
                <c:pt idx="117">
                  <c:v>467</c:v>
                </c:pt>
                <c:pt idx="118">
                  <c:v>335</c:v>
                </c:pt>
                <c:pt idx="119">
                  <c:v>707</c:v>
                </c:pt>
                <c:pt idx="120">
                  <c:v>355</c:v>
                </c:pt>
                <c:pt idx="121">
                  <c:v>372</c:v>
                </c:pt>
                <c:pt idx="122">
                  <c:v>431</c:v>
                </c:pt>
                <c:pt idx="123">
                  <c:v>574</c:v>
                </c:pt>
                <c:pt idx="124">
                  <c:v>687</c:v>
                </c:pt>
                <c:pt idx="125">
                  <c:v>568</c:v>
                </c:pt>
                <c:pt idx="126">
                  <c:v>703</c:v>
                </c:pt>
                <c:pt idx="127">
                  <c:v>639</c:v>
                </c:pt>
                <c:pt idx="128">
                  <c:v>563</c:v>
                </c:pt>
                <c:pt idx="129">
                  <c:v>423</c:v>
                </c:pt>
                <c:pt idx="130">
                  <c:v>759</c:v>
                </c:pt>
                <c:pt idx="131">
                  <c:v>411</c:v>
                </c:pt>
                <c:pt idx="132">
                  <c:v>777</c:v>
                </c:pt>
                <c:pt idx="133">
                  <c:v>422</c:v>
                </c:pt>
                <c:pt idx="134">
                  <c:v>446</c:v>
                </c:pt>
                <c:pt idx="135">
                  <c:v>501</c:v>
                </c:pt>
                <c:pt idx="136">
                  <c:v>538</c:v>
                </c:pt>
                <c:pt idx="137">
                  <c:v>592</c:v>
                </c:pt>
                <c:pt idx="138">
                  <c:v>820</c:v>
                </c:pt>
                <c:pt idx="139">
                  <c:v>582</c:v>
                </c:pt>
                <c:pt idx="140">
                  <c:v>509</c:v>
                </c:pt>
                <c:pt idx="141">
                  <c:v>369</c:v>
                </c:pt>
                <c:pt idx="142">
                  <c:v>573</c:v>
                </c:pt>
                <c:pt idx="143">
                  <c:v>815</c:v>
                </c:pt>
                <c:pt idx="144">
                  <c:v>580</c:v>
                </c:pt>
                <c:pt idx="145">
                  <c:v>628</c:v>
                </c:pt>
                <c:pt idx="146">
                  <c:v>432</c:v>
                </c:pt>
                <c:pt idx="147">
                  <c:v>583</c:v>
                </c:pt>
                <c:pt idx="148">
                  <c:v>790</c:v>
                </c:pt>
                <c:pt idx="149">
                  <c:v>758</c:v>
                </c:pt>
                <c:pt idx="150">
                  <c:v>695</c:v>
                </c:pt>
                <c:pt idx="151">
                  <c:v>647</c:v>
                </c:pt>
                <c:pt idx="152">
                  <c:v>411</c:v>
                </c:pt>
                <c:pt idx="153">
                  <c:v>547</c:v>
                </c:pt>
                <c:pt idx="154">
                  <c:v>484</c:v>
                </c:pt>
                <c:pt idx="155">
                  <c:v>576</c:v>
                </c:pt>
                <c:pt idx="156">
                  <c:v>802</c:v>
                </c:pt>
                <c:pt idx="157">
                  <c:v>651</c:v>
                </c:pt>
              </c:numCache>
            </c:numRef>
          </c:xVal>
          <c:yVal>
            <c:numRef>
              <c:f>correlação!$W$3:$W$160</c:f>
              <c:numCache>
                <c:formatCode>General</c:formatCode>
                <c:ptCount val="158"/>
                <c:pt idx="0">
                  <c:v>3237.8</c:v>
                </c:pt>
                <c:pt idx="1">
                  <c:v>2530</c:v>
                </c:pt>
                <c:pt idx="2">
                  <c:v>7950.29</c:v>
                </c:pt>
                <c:pt idx="3">
                  <c:v>4299.2</c:v>
                </c:pt>
                <c:pt idx="4">
                  <c:v>2845.32</c:v>
                </c:pt>
                <c:pt idx="5">
                  <c:v>4016.6</c:v>
                </c:pt>
                <c:pt idx="6">
                  <c:v>3327.27</c:v>
                </c:pt>
                <c:pt idx="7">
                  <c:v>2512.84</c:v>
                </c:pt>
                <c:pt idx="8">
                  <c:v>4254.45</c:v>
                </c:pt>
                <c:pt idx="9">
                  <c:v>4323.79</c:v>
                </c:pt>
                <c:pt idx="10">
                  <c:v>2217.83</c:v>
                </c:pt>
                <c:pt idx="11">
                  <c:v>3088.37</c:v>
                </c:pt>
                <c:pt idx="12">
                  <c:v>3362.88</c:v>
                </c:pt>
                <c:pt idx="13">
                  <c:v>3574.14</c:v>
                </c:pt>
                <c:pt idx="14">
                  <c:v>4825.84</c:v>
                </c:pt>
                <c:pt idx="15">
                  <c:v>5613.3</c:v>
                </c:pt>
                <c:pt idx="16">
                  <c:v>3580.2</c:v>
                </c:pt>
                <c:pt idx="17">
                  <c:v>4614.7700000000004</c:v>
                </c:pt>
                <c:pt idx="18">
                  <c:v>2380.19</c:v>
                </c:pt>
                <c:pt idx="19">
                  <c:v>3831.18</c:v>
                </c:pt>
                <c:pt idx="20">
                  <c:v>4900.09</c:v>
                </c:pt>
                <c:pt idx="21">
                  <c:v>2537.12</c:v>
                </c:pt>
                <c:pt idx="22">
                  <c:v>3260.75</c:v>
                </c:pt>
                <c:pt idx="23">
                  <c:v>5985.72</c:v>
                </c:pt>
                <c:pt idx="24">
                  <c:v>3557.88</c:v>
                </c:pt>
                <c:pt idx="25">
                  <c:v>4415.99</c:v>
                </c:pt>
                <c:pt idx="26">
                  <c:v>5382.12</c:v>
                </c:pt>
                <c:pt idx="27">
                  <c:v>5859.96</c:v>
                </c:pt>
                <c:pt idx="28">
                  <c:v>2566.4499999999998</c:v>
                </c:pt>
                <c:pt idx="29">
                  <c:v>3181.57</c:v>
                </c:pt>
                <c:pt idx="30">
                  <c:v>4406.1000000000004</c:v>
                </c:pt>
                <c:pt idx="31">
                  <c:v>4426.05</c:v>
                </c:pt>
                <c:pt idx="32">
                  <c:v>3335.57</c:v>
                </c:pt>
                <c:pt idx="33">
                  <c:v>4244.8900000000003</c:v>
                </c:pt>
                <c:pt idx="34">
                  <c:v>4487.8100000000004</c:v>
                </c:pt>
                <c:pt idx="35">
                  <c:v>6268.91</c:v>
                </c:pt>
                <c:pt idx="36">
                  <c:v>6634.88</c:v>
                </c:pt>
                <c:pt idx="37">
                  <c:v>4491.37</c:v>
                </c:pt>
                <c:pt idx="38">
                  <c:v>5069.12</c:v>
                </c:pt>
                <c:pt idx="39">
                  <c:v>4230.09</c:v>
                </c:pt>
                <c:pt idx="40">
                  <c:v>4268.7299999999996</c:v>
                </c:pt>
                <c:pt idx="41">
                  <c:v>4050.8</c:v>
                </c:pt>
                <c:pt idx="42">
                  <c:v>5242.8100000000004</c:v>
                </c:pt>
                <c:pt idx="43">
                  <c:v>3710.15</c:v>
                </c:pt>
                <c:pt idx="44">
                  <c:v>2750.22</c:v>
                </c:pt>
                <c:pt idx="45">
                  <c:v>2790.25</c:v>
                </c:pt>
                <c:pt idx="46">
                  <c:v>6588.83</c:v>
                </c:pt>
                <c:pt idx="47">
                  <c:v>3399.82</c:v>
                </c:pt>
                <c:pt idx="48">
                  <c:v>4008.58</c:v>
                </c:pt>
                <c:pt idx="49">
                  <c:v>5091.72</c:v>
                </c:pt>
                <c:pt idx="50">
                  <c:v>6823.31</c:v>
                </c:pt>
                <c:pt idx="51">
                  <c:v>2789.82</c:v>
                </c:pt>
                <c:pt idx="52">
                  <c:v>4183.3999999999996</c:v>
                </c:pt>
                <c:pt idx="53">
                  <c:v>3840.75</c:v>
                </c:pt>
                <c:pt idx="54">
                  <c:v>3130.96</c:v>
                </c:pt>
                <c:pt idx="55">
                  <c:v>11174.38</c:v>
                </c:pt>
                <c:pt idx="56">
                  <c:v>6785.02</c:v>
                </c:pt>
                <c:pt idx="57">
                  <c:v>2588.5100000000002</c:v>
                </c:pt>
                <c:pt idx="58">
                  <c:v>8105.94</c:v>
                </c:pt>
                <c:pt idx="59">
                  <c:v>2610.6</c:v>
                </c:pt>
                <c:pt idx="60">
                  <c:v>2428.4</c:v>
                </c:pt>
                <c:pt idx="61">
                  <c:v>7106.83</c:v>
                </c:pt>
                <c:pt idx="62">
                  <c:v>4315.0600000000004</c:v>
                </c:pt>
                <c:pt idx="63">
                  <c:v>3971.88</c:v>
                </c:pt>
                <c:pt idx="64">
                  <c:v>7006.45</c:v>
                </c:pt>
                <c:pt idx="65">
                  <c:v>4080.65</c:v>
                </c:pt>
                <c:pt idx="66">
                  <c:v>3013.41</c:v>
                </c:pt>
                <c:pt idx="67">
                  <c:v>5959.49</c:v>
                </c:pt>
                <c:pt idx="68">
                  <c:v>3095.15</c:v>
                </c:pt>
                <c:pt idx="69">
                  <c:v>3472.33</c:v>
                </c:pt>
                <c:pt idx="70">
                  <c:v>2262.0700000000002</c:v>
                </c:pt>
                <c:pt idx="71">
                  <c:v>2437.2399999999998</c:v>
                </c:pt>
                <c:pt idx="72">
                  <c:v>7131.36</c:v>
                </c:pt>
                <c:pt idx="73">
                  <c:v>7353.7</c:v>
                </c:pt>
                <c:pt idx="74">
                  <c:v>3199.09</c:v>
                </c:pt>
                <c:pt idx="75">
                  <c:v>4739.09</c:v>
                </c:pt>
                <c:pt idx="76">
                  <c:v>5643.6</c:v>
                </c:pt>
                <c:pt idx="77">
                  <c:v>3732.94</c:v>
                </c:pt>
                <c:pt idx="78">
                  <c:v>6535.01</c:v>
                </c:pt>
                <c:pt idx="79">
                  <c:v>5429.72</c:v>
                </c:pt>
                <c:pt idx="80">
                  <c:v>3930.85</c:v>
                </c:pt>
                <c:pt idx="81">
                  <c:v>5416.28</c:v>
                </c:pt>
                <c:pt idx="82">
                  <c:v>2669.71</c:v>
                </c:pt>
                <c:pt idx="83">
                  <c:v>4668.88</c:v>
                </c:pt>
                <c:pt idx="84">
                  <c:v>5944.66</c:v>
                </c:pt>
                <c:pt idx="85">
                  <c:v>4572.63</c:v>
                </c:pt>
                <c:pt idx="86">
                  <c:v>1516.92</c:v>
                </c:pt>
                <c:pt idx="87">
                  <c:v>3979.66</c:v>
                </c:pt>
                <c:pt idx="88">
                  <c:v>2132.1999999999998</c:v>
                </c:pt>
                <c:pt idx="89">
                  <c:v>7272.8</c:v>
                </c:pt>
                <c:pt idx="90">
                  <c:v>2725.48</c:v>
                </c:pt>
                <c:pt idx="91">
                  <c:v>4718.74</c:v>
                </c:pt>
                <c:pt idx="92">
                  <c:v>5164.5</c:v>
                </c:pt>
                <c:pt idx="93">
                  <c:v>2572.96</c:v>
                </c:pt>
                <c:pt idx="94">
                  <c:v>7623.61</c:v>
                </c:pt>
                <c:pt idx="95">
                  <c:v>2048.6799999999998</c:v>
                </c:pt>
                <c:pt idx="96">
                  <c:v>1689.61</c:v>
                </c:pt>
                <c:pt idx="97">
                  <c:v>6055.26</c:v>
                </c:pt>
                <c:pt idx="98">
                  <c:v>2325.69</c:v>
                </c:pt>
                <c:pt idx="99">
                  <c:v>6531.16</c:v>
                </c:pt>
                <c:pt idx="100">
                  <c:v>6699.63</c:v>
                </c:pt>
                <c:pt idx="101">
                  <c:v>4059.02</c:v>
                </c:pt>
                <c:pt idx="102">
                  <c:v>3311.06</c:v>
                </c:pt>
                <c:pt idx="103">
                  <c:v>5935.12</c:v>
                </c:pt>
                <c:pt idx="104">
                  <c:v>5190.96</c:v>
                </c:pt>
                <c:pt idx="105">
                  <c:v>5597.65</c:v>
                </c:pt>
                <c:pt idx="106">
                  <c:v>5794.44</c:v>
                </c:pt>
                <c:pt idx="107">
                  <c:v>2817.97</c:v>
                </c:pt>
                <c:pt idx="108">
                  <c:v>3484.7</c:v>
                </c:pt>
                <c:pt idx="109">
                  <c:v>2590.7600000000002</c:v>
                </c:pt>
                <c:pt idx="110">
                  <c:v>5341.19</c:v>
                </c:pt>
                <c:pt idx="111">
                  <c:v>3122.45</c:v>
                </c:pt>
                <c:pt idx="112">
                  <c:v>3918.69</c:v>
                </c:pt>
                <c:pt idx="113">
                  <c:v>6801.56</c:v>
                </c:pt>
                <c:pt idx="114">
                  <c:v>2936.15</c:v>
                </c:pt>
                <c:pt idx="115">
                  <c:v>5824.63</c:v>
                </c:pt>
                <c:pt idx="116">
                  <c:v>5569.58</c:v>
                </c:pt>
                <c:pt idx="117">
                  <c:v>7182.89</c:v>
                </c:pt>
                <c:pt idx="118">
                  <c:v>5885.53</c:v>
                </c:pt>
                <c:pt idx="119">
                  <c:v>2362.5100000000002</c:v>
                </c:pt>
                <c:pt idx="120">
                  <c:v>6202.83</c:v>
                </c:pt>
                <c:pt idx="121">
                  <c:v>5119.59</c:v>
                </c:pt>
                <c:pt idx="122">
                  <c:v>8071.36</c:v>
                </c:pt>
                <c:pt idx="123">
                  <c:v>3605.19</c:v>
                </c:pt>
                <c:pt idx="124">
                  <c:v>3785.9</c:v>
                </c:pt>
                <c:pt idx="125">
                  <c:v>5350.6</c:v>
                </c:pt>
                <c:pt idx="126">
                  <c:v>3780.25</c:v>
                </c:pt>
                <c:pt idx="127">
                  <c:v>3351.59</c:v>
                </c:pt>
                <c:pt idx="128">
                  <c:v>4554.6499999999996</c:v>
                </c:pt>
                <c:pt idx="129">
                  <c:v>7446.67</c:v>
                </c:pt>
                <c:pt idx="130">
                  <c:v>4176.8599999999997</c:v>
                </c:pt>
                <c:pt idx="131">
                  <c:v>6311.43</c:v>
                </c:pt>
                <c:pt idx="132">
                  <c:v>3523.87</c:v>
                </c:pt>
                <c:pt idx="133">
                  <c:v>5260.74</c:v>
                </c:pt>
                <c:pt idx="134">
                  <c:v>5856.28</c:v>
                </c:pt>
                <c:pt idx="135">
                  <c:v>4938.92</c:v>
                </c:pt>
                <c:pt idx="136">
                  <c:v>4229.18</c:v>
                </c:pt>
                <c:pt idx="137">
                  <c:v>4351.18</c:v>
                </c:pt>
                <c:pt idx="138">
                  <c:v>4886.92</c:v>
                </c:pt>
                <c:pt idx="139">
                  <c:v>4509.24</c:v>
                </c:pt>
                <c:pt idx="140">
                  <c:v>7666.16</c:v>
                </c:pt>
                <c:pt idx="141">
                  <c:v>4676.5200000000004</c:v>
                </c:pt>
                <c:pt idx="142">
                  <c:v>3202.93</c:v>
                </c:pt>
                <c:pt idx="143">
                  <c:v>3512.73</c:v>
                </c:pt>
                <c:pt idx="144">
                  <c:v>5644.66</c:v>
                </c:pt>
                <c:pt idx="145">
                  <c:v>3770.54</c:v>
                </c:pt>
                <c:pt idx="146">
                  <c:v>7770.71</c:v>
                </c:pt>
                <c:pt idx="147">
                  <c:v>6281.74</c:v>
                </c:pt>
                <c:pt idx="148">
                  <c:v>5222.17</c:v>
                </c:pt>
                <c:pt idx="149">
                  <c:v>3179.67</c:v>
                </c:pt>
                <c:pt idx="150">
                  <c:v>5038.03</c:v>
                </c:pt>
                <c:pt idx="151">
                  <c:v>3643.71</c:v>
                </c:pt>
                <c:pt idx="152">
                  <c:v>5674.24</c:v>
                </c:pt>
                <c:pt idx="153">
                  <c:v>5260.42</c:v>
                </c:pt>
                <c:pt idx="154">
                  <c:v>6672.47</c:v>
                </c:pt>
                <c:pt idx="155">
                  <c:v>3564.46</c:v>
                </c:pt>
                <c:pt idx="156">
                  <c:v>5419.32</c:v>
                </c:pt>
                <c:pt idx="157">
                  <c:v>5913.71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AAA-426B-ADE2-E4F1883510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776122304"/>
        <c:axId val="-776121760"/>
      </c:scatterChart>
      <c:valAx>
        <c:axId val="-776122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Parda (Pessoas)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2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776121760"/>
        <c:crosses val="autoZero"/>
        <c:crossBetween val="midCat"/>
      </c:valAx>
      <c:valAx>
        <c:axId val="-77612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Rendimento mensal (R$)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7761223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dk1">
                      <a:tint val="88500"/>
                      <a:shade val="51000"/>
                      <a:satMod val="130000"/>
                    </a:schemeClr>
                  </a:gs>
                  <a:gs pos="80000">
                    <a:schemeClr val="dk1">
                      <a:tint val="88500"/>
                      <a:shade val="93000"/>
                      <a:satMod val="130000"/>
                    </a:schemeClr>
                  </a:gs>
                  <a:gs pos="100000">
                    <a:schemeClr val="dk1">
                      <a:tint val="885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dk1">
                    <a:tint val="88500"/>
                  </a:schemeClr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trendline>
            <c:spPr>
              <a:ln w="9525" cap="rnd">
                <a:solidFill>
                  <a:schemeClr val="dk1">
                    <a:tint val="88500"/>
                  </a:schemeClr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3.5115110611173603E-2"/>
                  <c:y val="-0.3168806503353747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 = </a:t>
                    </a:r>
                    <a:r>
                      <a:rPr lang="pt-BR" sz="1000" b="0" i="0" u="none" strike="noStrike" baseline="0">
                        <a:effectLst/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0,17</a:t>
                    </a:r>
                    <a:r>
                      <a:rPr lang="pt-BR" sz="1000" b="0" i="0" u="none" strike="noStrike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endParaRPr lang="en-US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t-BR"/>
                </a:p>
              </c:txPr>
            </c:trendlineLbl>
          </c:trendline>
          <c:xVal>
            <c:numRef>
              <c:f>correlação!$AD$3:$AD$160</c:f>
              <c:numCache>
                <c:formatCode>General</c:formatCode>
                <c:ptCount val="15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0</c:v>
                </c:pt>
                <c:pt idx="20">
                  <c:v>1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5</c:v>
                </c:pt>
                <c:pt idx="26">
                  <c:v>1</c:v>
                </c:pt>
                <c:pt idx="27">
                  <c:v>0</c:v>
                </c:pt>
                <c:pt idx="28">
                  <c:v>2</c:v>
                </c:pt>
                <c:pt idx="29">
                  <c:v>2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6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2</c:v>
                </c:pt>
                <c:pt idx="38">
                  <c:v>3</c:v>
                </c:pt>
                <c:pt idx="39">
                  <c:v>0</c:v>
                </c:pt>
                <c:pt idx="40">
                  <c:v>2</c:v>
                </c:pt>
                <c:pt idx="41">
                  <c:v>3</c:v>
                </c:pt>
                <c:pt idx="42">
                  <c:v>0</c:v>
                </c:pt>
                <c:pt idx="43">
                  <c:v>0</c:v>
                </c:pt>
                <c:pt idx="44">
                  <c:v>1</c:v>
                </c:pt>
                <c:pt idx="45">
                  <c:v>2</c:v>
                </c:pt>
                <c:pt idx="46">
                  <c:v>0</c:v>
                </c:pt>
                <c:pt idx="47">
                  <c:v>0</c:v>
                </c:pt>
                <c:pt idx="48">
                  <c:v>1</c:v>
                </c:pt>
                <c:pt idx="49">
                  <c:v>1</c:v>
                </c:pt>
                <c:pt idx="50">
                  <c:v>0</c:v>
                </c:pt>
                <c:pt idx="51">
                  <c:v>1</c:v>
                </c:pt>
                <c:pt idx="52">
                  <c:v>0</c:v>
                </c:pt>
                <c:pt idx="53">
                  <c:v>7</c:v>
                </c:pt>
                <c:pt idx="54">
                  <c:v>0</c:v>
                </c:pt>
                <c:pt idx="55">
                  <c:v>13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1</c:v>
                </c:pt>
                <c:pt idx="64">
                  <c:v>0</c:v>
                </c:pt>
                <c:pt idx="65">
                  <c:v>1</c:v>
                </c:pt>
                <c:pt idx="66">
                  <c:v>0</c:v>
                </c:pt>
                <c:pt idx="67">
                  <c:v>2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1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1</c:v>
                </c:pt>
                <c:pt idx="79">
                  <c:v>8</c:v>
                </c:pt>
                <c:pt idx="80">
                  <c:v>1</c:v>
                </c:pt>
                <c:pt idx="81">
                  <c:v>0</c:v>
                </c:pt>
                <c:pt idx="82">
                  <c:v>0</c:v>
                </c:pt>
                <c:pt idx="83">
                  <c:v>6</c:v>
                </c:pt>
                <c:pt idx="84">
                  <c:v>0</c:v>
                </c:pt>
                <c:pt idx="85">
                  <c:v>0</c:v>
                </c:pt>
                <c:pt idx="86">
                  <c:v>4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1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2</c:v>
                </c:pt>
                <c:pt idx="100">
                  <c:v>0</c:v>
                </c:pt>
                <c:pt idx="101">
                  <c:v>5</c:v>
                </c:pt>
                <c:pt idx="102">
                  <c:v>0</c:v>
                </c:pt>
                <c:pt idx="103">
                  <c:v>4</c:v>
                </c:pt>
                <c:pt idx="104">
                  <c:v>7</c:v>
                </c:pt>
                <c:pt idx="105">
                  <c:v>0</c:v>
                </c:pt>
                <c:pt idx="106">
                  <c:v>0</c:v>
                </c:pt>
                <c:pt idx="107">
                  <c:v>2</c:v>
                </c:pt>
                <c:pt idx="108">
                  <c:v>0</c:v>
                </c:pt>
                <c:pt idx="109">
                  <c:v>3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4</c:v>
                </c:pt>
                <c:pt idx="114">
                  <c:v>5</c:v>
                </c:pt>
                <c:pt idx="115">
                  <c:v>0</c:v>
                </c:pt>
                <c:pt idx="116">
                  <c:v>0</c:v>
                </c:pt>
                <c:pt idx="117">
                  <c:v>1</c:v>
                </c:pt>
                <c:pt idx="118">
                  <c:v>3</c:v>
                </c:pt>
                <c:pt idx="119">
                  <c:v>10</c:v>
                </c:pt>
                <c:pt idx="120">
                  <c:v>0</c:v>
                </c:pt>
                <c:pt idx="121">
                  <c:v>2</c:v>
                </c:pt>
                <c:pt idx="122">
                  <c:v>2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1</c:v>
                </c:pt>
                <c:pt idx="127">
                  <c:v>1</c:v>
                </c:pt>
                <c:pt idx="128">
                  <c:v>0</c:v>
                </c:pt>
                <c:pt idx="129">
                  <c:v>4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1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3</c:v>
                </c:pt>
                <c:pt idx="139">
                  <c:v>0</c:v>
                </c:pt>
                <c:pt idx="140">
                  <c:v>9</c:v>
                </c:pt>
                <c:pt idx="141">
                  <c:v>0</c:v>
                </c:pt>
                <c:pt idx="142">
                  <c:v>1</c:v>
                </c:pt>
                <c:pt idx="143">
                  <c:v>2</c:v>
                </c:pt>
                <c:pt idx="144">
                  <c:v>3</c:v>
                </c:pt>
                <c:pt idx="145">
                  <c:v>3</c:v>
                </c:pt>
                <c:pt idx="146">
                  <c:v>1</c:v>
                </c:pt>
                <c:pt idx="147">
                  <c:v>0</c:v>
                </c:pt>
                <c:pt idx="148">
                  <c:v>2</c:v>
                </c:pt>
                <c:pt idx="149">
                  <c:v>0</c:v>
                </c:pt>
                <c:pt idx="150">
                  <c:v>2</c:v>
                </c:pt>
                <c:pt idx="151">
                  <c:v>4</c:v>
                </c:pt>
                <c:pt idx="152">
                  <c:v>1</c:v>
                </c:pt>
                <c:pt idx="153">
                  <c:v>1</c:v>
                </c:pt>
                <c:pt idx="154">
                  <c:v>0</c:v>
                </c:pt>
                <c:pt idx="155">
                  <c:v>0</c:v>
                </c:pt>
                <c:pt idx="156">
                  <c:v>4</c:v>
                </c:pt>
                <c:pt idx="157">
                  <c:v>0</c:v>
                </c:pt>
              </c:numCache>
            </c:numRef>
          </c:xVal>
          <c:yVal>
            <c:numRef>
              <c:f>correlação!$AE$3:$AE$160</c:f>
              <c:numCache>
                <c:formatCode>General</c:formatCode>
                <c:ptCount val="158"/>
                <c:pt idx="0">
                  <c:v>3237.8</c:v>
                </c:pt>
                <c:pt idx="1">
                  <c:v>2530</c:v>
                </c:pt>
                <c:pt idx="2">
                  <c:v>7950.29</c:v>
                </c:pt>
                <c:pt idx="3">
                  <c:v>4299.2</c:v>
                </c:pt>
                <c:pt idx="4">
                  <c:v>2845.32</c:v>
                </c:pt>
                <c:pt idx="5">
                  <c:v>4016.6</c:v>
                </c:pt>
                <c:pt idx="6">
                  <c:v>3327.27</c:v>
                </c:pt>
                <c:pt idx="7">
                  <c:v>2512.84</c:v>
                </c:pt>
                <c:pt idx="8">
                  <c:v>4254.45</c:v>
                </c:pt>
                <c:pt idx="9">
                  <c:v>4323.79</c:v>
                </c:pt>
                <c:pt idx="10">
                  <c:v>2217.83</c:v>
                </c:pt>
                <c:pt idx="11">
                  <c:v>3088.37</c:v>
                </c:pt>
                <c:pt idx="12">
                  <c:v>3362.88</c:v>
                </c:pt>
                <c:pt idx="13">
                  <c:v>3574.14</c:v>
                </c:pt>
                <c:pt idx="14">
                  <c:v>4825.84</c:v>
                </c:pt>
                <c:pt idx="15">
                  <c:v>5613.3</c:v>
                </c:pt>
                <c:pt idx="16">
                  <c:v>3580.2</c:v>
                </c:pt>
                <c:pt idx="17">
                  <c:v>4614.7700000000004</c:v>
                </c:pt>
                <c:pt idx="18">
                  <c:v>2380.19</c:v>
                </c:pt>
                <c:pt idx="19">
                  <c:v>3831.18</c:v>
                </c:pt>
                <c:pt idx="20">
                  <c:v>4900.09</c:v>
                </c:pt>
                <c:pt idx="21">
                  <c:v>2537.12</c:v>
                </c:pt>
                <c:pt idx="22">
                  <c:v>3260.75</c:v>
                </c:pt>
                <c:pt idx="23">
                  <c:v>5985.72</c:v>
                </c:pt>
                <c:pt idx="24">
                  <c:v>3557.88</c:v>
                </c:pt>
                <c:pt idx="25">
                  <c:v>4415.99</c:v>
                </c:pt>
                <c:pt idx="26">
                  <c:v>5382.12</c:v>
                </c:pt>
                <c:pt idx="27">
                  <c:v>5859.96</c:v>
                </c:pt>
                <c:pt idx="28">
                  <c:v>2566.4499999999998</c:v>
                </c:pt>
                <c:pt idx="29">
                  <c:v>3181.57</c:v>
                </c:pt>
                <c:pt idx="30">
                  <c:v>4406.1000000000004</c:v>
                </c:pt>
                <c:pt idx="31">
                  <c:v>4426.05</c:v>
                </c:pt>
                <c:pt idx="32">
                  <c:v>3335.57</c:v>
                </c:pt>
                <c:pt idx="33">
                  <c:v>4244.8900000000003</c:v>
                </c:pt>
                <c:pt idx="34">
                  <c:v>4487.8100000000004</c:v>
                </c:pt>
                <c:pt idx="35">
                  <c:v>6268.91</c:v>
                </c:pt>
                <c:pt idx="36">
                  <c:v>6634.88</c:v>
                </c:pt>
                <c:pt idx="37">
                  <c:v>4491.37</c:v>
                </c:pt>
                <c:pt idx="38">
                  <c:v>5069.12</c:v>
                </c:pt>
                <c:pt idx="39">
                  <c:v>4230.09</c:v>
                </c:pt>
                <c:pt idx="40">
                  <c:v>4268.7299999999996</c:v>
                </c:pt>
                <c:pt idx="41">
                  <c:v>4050.8</c:v>
                </c:pt>
                <c:pt idx="42">
                  <c:v>5242.8100000000004</c:v>
                </c:pt>
                <c:pt idx="43">
                  <c:v>3710.15</c:v>
                </c:pt>
                <c:pt idx="44">
                  <c:v>2750.22</c:v>
                </c:pt>
                <c:pt idx="45">
                  <c:v>2790.25</c:v>
                </c:pt>
                <c:pt idx="46">
                  <c:v>6588.83</c:v>
                </c:pt>
                <c:pt idx="47">
                  <c:v>3399.82</c:v>
                </c:pt>
                <c:pt idx="48">
                  <c:v>4008.58</c:v>
                </c:pt>
                <c:pt idx="49">
                  <c:v>5091.72</c:v>
                </c:pt>
                <c:pt idx="50">
                  <c:v>6823.31</c:v>
                </c:pt>
                <c:pt idx="51">
                  <c:v>2789.82</c:v>
                </c:pt>
                <c:pt idx="52">
                  <c:v>4183.3999999999996</c:v>
                </c:pt>
                <c:pt idx="53">
                  <c:v>3840.75</c:v>
                </c:pt>
                <c:pt idx="54">
                  <c:v>3130.96</c:v>
                </c:pt>
                <c:pt idx="55">
                  <c:v>11174.38</c:v>
                </c:pt>
                <c:pt idx="56">
                  <c:v>6785.02</c:v>
                </c:pt>
                <c:pt idx="57">
                  <c:v>2588.5100000000002</c:v>
                </c:pt>
                <c:pt idx="58">
                  <c:v>8105.94</c:v>
                </c:pt>
                <c:pt idx="59">
                  <c:v>2610.6</c:v>
                </c:pt>
                <c:pt idx="60">
                  <c:v>2428.4</c:v>
                </c:pt>
                <c:pt idx="61">
                  <c:v>7106.83</c:v>
                </c:pt>
                <c:pt idx="62">
                  <c:v>4315.0600000000004</c:v>
                </c:pt>
                <c:pt idx="63">
                  <c:v>3971.88</c:v>
                </c:pt>
                <c:pt idx="64">
                  <c:v>7006.45</c:v>
                </c:pt>
                <c:pt idx="65">
                  <c:v>4080.65</c:v>
                </c:pt>
                <c:pt idx="66">
                  <c:v>3013.41</c:v>
                </c:pt>
                <c:pt idx="67">
                  <c:v>5959.49</c:v>
                </c:pt>
                <c:pt idx="68">
                  <c:v>3095.15</c:v>
                </c:pt>
                <c:pt idx="69">
                  <c:v>3472.33</c:v>
                </c:pt>
                <c:pt idx="70">
                  <c:v>2262.0700000000002</c:v>
                </c:pt>
                <c:pt idx="71">
                  <c:v>2437.2399999999998</c:v>
                </c:pt>
                <c:pt idx="72">
                  <c:v>7131.36</c:v>
                </c:pt>
                <c:pt idx="73">
                  <c:v>7353.7</c:v>
                </c:pt>
                <c:pt idx="74">
                  <c:v>3199.09</c:v>
                </c:pt>
                <c:pt idx="75">
                  <c:v>4739.09</c:v>
                </c:pt>
                <c:pt idx="76">
                  <c:v>5643.6</c:v>
                </c:pt>
                <c:pt idx="77">
                  <c:v>3732.94</c:v>
                </c:pt>
                <c:pt idx="78">
                  <c:v>6535.01</c:v>
                </c:pt>
                <c:pt idx="79">
                  <c:v>5429.72</c:v>
                </c:pt>
                <c:pt idx="80">
                  <c:v>3930.85</c:v>
                </c:pt>
                <c:pt idx="81">
                  <c:v>5416.28</c:v>
                </c:pt>
                <c:pt idx="82">
                  <c:v>2669.71</c:v>
                </c:pt>
                <c:pt idx="83">
                  <c:v>4668.88</c:v>
                </c:pt>
                <c:pt idx="84">
                  <c:v>5944.66</c:v>
                </c:pt>
                <c:pt idx="85">
                  <c:v>4572.63</c:v>
                </c:pt>
                <c:pt idx="86">
                  <c:v>1516.92</c:v>
                </c:pt>
                <c:pt idx="87">
                  <c:v>3979.66</c:v>
                </c:pt>
                <c:pt idx="88">
                  <c:v>2132.1999999999998</c:v>
                </c:pt>
                <c:pt idx="89">
                  <c:v>7272.8</c:v>
                </c:pt>
                <c:pt idx="90">
                  <c:v>2725.48</c:v>
                </c:pt>
                <c:pt idx="91">
                  <c:v>4718.74</c:v>
                </c:pt>
                <c:pt idx="92">
                  <c:v>5164.5</c:v>
                </c:pt>
                <c:pt idx="93">
                  <c:v>2572.96</c:v>
                </c:pt>
                <c:pt idx="94">
                  <c:v>7623.61</c:v>
                </c:pt>
                <c:pt idx="95">
                  <c:v>2048.6799999999998</c:v>
                </c:pt>
                <c:pt idx="96">
                  <c:v>1689.61</c:v>
                </c:pt>
                <c:pt idx="97">
                  <c:v>6055.26</c:v>
                </c:pt>
                <c:pt idx="98">
                  <c:v>2325.69</c:v>
                </c:pt>
                <c:pt idx="99">
                  <c:v>6531.16</c:v>
                </c:pt>
                <c:pt idx="100">
                  <c:v>6699.63</c:v>
                </c:pt>
                <c:pt idx="101">
                  <c:v>4059.02</c:v>
                </c:pt>
                <c:pt idx="102">
                  <c:v>3311.06</c:v>
                </c:pt>
                <c:pt idx="103">
                  <c:v>5935.12</c:v>
                </c:pt>
                <c:pt idx="104">
                  <c:v>5190.96</c:v>
                </c:pt>
                <c:pt idx="105">
                  <c:v>5597.65</c:v>
                </c:pt>
                <c:pt idx="106">
                  <c:v>5794.44</c:v>
                </c:pt>
                <c:pt idx="107">
                  <c:v>2817.97</c:v>
                </c:pt>
                <c:pt idx="108">
                  <c:v>3484.7</c:v>
                </c:pt>
                <c:pt idx="109">
                  <c:v>2590.7600000000002</c:v>
                </c:pt>
                <c:pt idx="110">
                  <c:v>5341.19</c:v>
                </c:pt>
                <c:pt idx="111">
                  <c:v>3122.45</c:v>
                </c:pt>
                <c:pt idx="112">
                  <c:v>3918.69</c:v>
                </c:pt>
                <c:pt idx="113">
                  <c:v>6801.56</c:v>
                </c:pt>
                <c:pt idx="114">
                  <c:v>2936.15</c:v>
                </c:pt>
                <c:pt idx="115">
                  <c:v>5824.63</c:v>
                </c:pt>
                <c:pt idx="116">
                  <c:v>5569.58</c:v>
                </c:pt>
                <c:pt idx="117">
                  <c:v>7182.89</c:v>
                </c:pt>
                <c:pt idx="118">
                  <c:v>5885.53</c:v>
                </c:pt>
                <c:pt idx="119">
                  <c:v>2362.5100000000002</c:v>
                </c:pt>
                <c:pt idx="120">
                  <c:v>6202.83</c:v>
                </c:pt>
                <c:pt idx="121">
                  <c:v>5119.59</c:v>
                </c:pt>
                <c:pt idx="122">
                  <c:v>8071.36</c:v>
                </c:pt>
                <c:pt idx="123">
                  <c:v>3605.19</c:v>
                </c:pt>
                <c:pt idx="124">
                  <c:v>3785.9</c:v>
                </c:pt>
                <c:pt idx="125">
                  <c:v>5350.6</c:v>
                </c:pt>
                <c:pt idx="126">
                  <c:v>3780.25</c:v>
                </c:pt>
                <c:pt idx="127">
                  <c:v>3351.59</c:v>
                </c:pt>
                <c:pt idx="128">
                  <c:v>4554.6499999999996</c:v>
                </c:pt>
                <c:pt idx="129">
                  <c:v>7446.67</c:v>
                </c:pt>
                <c:pt idx="130">
                  <c:v>4176.8599999999997</c:v>
                </c:pt>
                <c:pt idx="131">
                  <c:v>6311.43</c:v>
                </c:pt>
                <c:pt idx="132">
                  <c:v>3523.87</c:v>
                </c:pt>
                <c:pt idx="133">
                  <c:v>5260.74</c:v>
                </c:pt>
                <c:pt idx="134">
                  <c:v>5856.28</c:v>
                </c:pt>
                <c:pt idx="135">
                  <c:v>4938.92</c:v>
                </c:pt>
                <c:pt idx="136">
                  <c:v>4229.18</c:v>
                </c:pt>
                <c:pt idx="137">
                  <c:v>4351.18</c:v>
                </c:pt>
                <c:pt idx="138">
                  <c:v>4886.92</c:v>
                </c:pt>
                <c:pt idx="139">
                  <c:v>4509.24</c:v>
                </c:pt>
                <c:pt idx="140">
                  <c:v>7666.16</c:v>
                </c:pt>
                <c:pt idx="141">
                  <c:v>4676.5200000000004</c:v>
                </c:pt>
                <c:pt idx="142">
                  <c:v>3202.93</c:v>
                </c:pt>
                <c:pt idx="143">
                  <c:v>3512.73</c:v>
                </c:pt>
                <c:pt idx="144">
                  <c:v>5644.66</c:v>
                </c:pt>
                <c:pt idx="145">
                  <c:v>3770.54</c:v>
                </c:pt>
                <c:pt idx="146">
                  <c:v>7770.71</c:v>
                </c:pt>
                <c:pt idx="147">
                  <c:v>6281.74</c:v>
                </c:pt>
                <c:pt idx="148">
                  <c:v>5222.17</c:v>
                </c:pt>
                <c:pt idx="149">
                  <c:v>3179.67</c:v>
                </c:pt>
                <c:pt idx="150">
                  <c:v>5038.03</c:v>
                </c:pt>
                <c:pt idx="151">
                  <c:v>3643.71</c:v>
                </c:pt>
                <c:pt idx="152">
                  <c:v>5674.24</c:v>
                </c:pt>
                <c:pt idx="153">
                  <c:v>5260.42</c:v>
                </c:pt>
                <c:pt idx="154">
                  <c:v>6672.47</c:v>
                </c:pt>
                <c:pt idx="155">
                  <c:v>3564.46</c:v>
                </c:pt>
                <c:pt idx="156">
                  <c:v>5419.32</c:v>
                </c:pt>
                <c:pt idx="157">
                  <c:v>5913.71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5B8-4389-B78B-BA38F9CC36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776121216"/>
        <c:axId val="-776120672"/>
      </c:scatterChart>
      <c:valAx>
        <c:axId val="-776121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Indígena (Pessoas)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776120672"/>
        <c:crosses val="autoZero"/>
        <c:crossBetween val="midCat"/>
      </c:valAx>
      <c:valAx>
        <c:axId val="-776120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Rendimento mensal (R$)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-7761212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U/0ypfRAXZ8tJSqjQyol7Xj/oQ==">AMUW2mX0CXt6eTOnwiYtotieJtT4JsysTqYf4CNEJHpSpehSvYPWORBsVuPl/ecgsuCUuYzf9jlMZX+EiferRI3WFHY4Z8/cH7rljvXP/SIf4ApSi3xDl30=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52CC1B-6B80-43AE-B825-DBE31D2A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18</Pages>
  <Words>5585</Words>
  <Characters>30165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Claudio</dc:creator>
  <cp:lastModifiedBy>Lucas</cp:lastModifiedBy>
  <cp:revision>38</cp:revision>
  <dcterms:created xsi:type="dcterms:W3CDTF">2023-06-13T14:23:00Z</dcterms:created>
  <dcterms:modified xsi:type="dcterms:W3CDTF">2023-06-17T00:46:00Z</dcterms:modified>
</cp:coreProperties>
</file>